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1A2F7" w14:textId="77777777" w:rsidR="00E5500F" w:rsidRPr="00E5500F" w:rsidRDefault="00E5500F" w:rsidP="00E5500F">
      <w:pPr>
        <w:pStyle w:val="LGAItemNoHeading"/>
        <w:spacing w:before="240"/>
        <w:rPr>
          <w:rFonts w:ascii="Arial" w:eastAsia="Arial" w:hAnsi="Arial" w:cs="Arial"/>
          <w:sz w:val="28"/>
          <w:szCs w:val="28"/>
          <w:u w:val="single"/>
        </w:rPr>
      </w:pPr>
      <w:r w:rsidRPr="00E5500F">
        <w:rPr>
          <w:rFonts w:ascii="Arial" w:hAnsi="Arial"/>
          <w:sz w:val="28"/>
          <w:szCs w:val="28"/>
          <w:u w:val="single"/>
        </w:rPr>
        <w:t xml:space="preserve">Appendix B – Workforce Update </w:t>
      </w:r>
    </w:p>
    <w:p w14:paraId="7CA1A2F8" w14:textId="77777777" w:rsidR="00E5500F" w:rsidRDefault="00E5500F" w:rsidP="00E5500F">
      <w:pPr>
        <w:pStyle w:val="MainText"/>
        <w:spacing w:line="240" w:lineRule="auto"/>
        <w:rPr>
          <w:rFonts w:ascii="Arial" w:eastAsia="Arial" w:hAnsi="Arial" w:cs="Arial"/>
          <w:b/>
          <w:bCs/>
        </w:rPr>
      </w:pPr>
    </w:p>
    <w:p w14:paraId="7CA1A2F9" w14:textId="77777777" w:rsidR="00E5500F" w:rsidRDefault="00E5500F" w:rsidP="00E5500F">
      <w:pPr>
        <w:pStyle w:val="MainText"/>
        <w:spacing w:line="240" w:lineRule="auto"/>
        <w:rPr>
          <w:rFonts w:ascii="Arial" w:eastAsia="Arial" w:hAnsi="Arial" w:cs="Arial"/>
          <w:b/>
          <w:bCs/>
        </w:rPr>
      </w:pPr>
      <w:r>
        <w:rPr>
          <w:rFonts w:ascii="Arial" w:hAnsi="Arial"/>
          <w:b/>
          <w:bCs/>
        </w:rPr>
        <w:t xml:space="preserve">Purpose </w:t>
      </w:r>
    </w:p>
    <w:p w14:paraId="7CA1A2FA" w14:textId="77777777" w:rsidR="00E5500F" w:rsidRDefault="00E5500F" w:rsidP="00E5500F">
      <w:pPr>
        <w:pStyle w:val="MainText"/>
        <w:spacing w:line="240" w:lineRule="auto"/>
        <w:rPr>
          <w:rFonts w:ascii="Arial" w:eastAsia="Arial" w:hAnsi="Arial" w:cs="Arial"/>
          <w:b/>
          <w:bCs/>
        </w:rPr>
      </w:pPr>
    </w:p>
    <w:p w14:paraId="7CA1A2FB" w14:textId="77777777" w:rsidR="00E5500F" w:rsidRDefault="00E5500F" w:rsidP="00E5500F">
      <w:pPr>
        <w:pStyle w:val="MainText"/>
        <w:spacing w:line="240" w:lineRule="auto"/>
        <w:rPr>
          <w:rFonts w:ascii="Arial" w:eastAsia="Arial" w:hAnsi="Arial" w:cs="Arial"/>
          <w:b/>
          <w:bCs/>
        </w:rPr>
      </w:pPr>
      <w:r>
        <w:rPr>
          <w:rFonts w:ascii="Arial" w:hAnsi="Arial"/>
        </w:rPr>
        <w:t>For information.</w:t>
      </w:r>
    </w:p>
    <w:p w14:paraId="7CA1A2FC" w14:textId="77777777" w:rsidR="00E5500F" w:rsidRDefault="00E5500F" w:rsidP="00E5500F">
      <w:pPr>
        <w:pStyle w:val="MainText"/>
        <w:spacing w:line="240" w:lineRule="auto"/>
        <w:rPr>
          <w:rFonts w:ascii="Arial" w:eastAsia="Arial" w:hAnsi="Arial" w:cs="Arial"/>
          <w:b/>
          <w:bCs/>
        </w:rPr>
      </w:pPr>
    </w:p>
    <w:p w14:paraId="7CA1A2FD" w14:textId="77777777" w:rsidR="00E5500F" w:rsidRDefault="00E5500F" w:rsidP="00E5500F">
      <w:pPr>
        <w:pStyle w:val="MainText"/>
        <w:spacing w:line="240" w:lineRule="auto"/>
        <w:rPr>
          <w:rFonts w:ascii="Arial" w:eastAsia="Arial" w:hAnsi="Arial" w:cs="Arial"/>
          <w:b/>
          <w:bCs/>
        </w:rPr>
      </w:pPr>
    </w:p>
    <w:p w14:paraId="7CA1A2FE" w14:textId="77777777" w:rsidR="00E5500F" w:rsidRDefault="00E5500F" w:rsidP="00E5500F">
      <w:pPr>
        <w:pStyle w:val="MainText"/>
        <w:spacing w:line="240" w:lineRule="auto"/>
        <w:rPr>
          <w:rFonts w:ascii="Arial" w:eastAsia="Arial" w:hAnsi="Arial" w:cs="Arial"/>
        </w:rPr>
      </w:pPr>
      <w:r>
        <w:rPr>
          <w:rFonts w:ascii="Arial" w:hAnsi="Arial"/>
          <w:b/>
          <w:bCs/>
        </w:rPr>
        <w:t>Summary</w:t>
      </w:r>
    </w:p>
    <w:p w14:paraId="7CA1A2FF" w14:textId="77777777" w:rsidR="00E5500F" w:rsidRDefault="00E5500F" w:rsidP="00E5500F">
      <w:pPr>
        <w:pStyle w:val="MainText"/>
        <w:spacing w:line="240" w:lineRule="auto"/>
        <w:rPr>
          <w:rFonts w:ascii="Arial" w:eastAsia="Arial" w:hAnsi="Arial" w:cs="Arial"/>
        </w:rPr>
      </w:pPr>
    </w:p>
    <w:p w14:paraId="7CA1A300" w14:textId="77777777" w:rsidR="00E5500F" w:rsidRDefault="00E5500F" w:rsidP="00E5500F">
      <w:pPr>
        <w:pStyle w:val="MainText"/>
        <w:spacing w:line="240" w:lineRule="auto"/>
        <w:rPr>
          <w:rFonts w:ascii="Arial" w:hAnsi="Arial"/>
        </w:rPr>
      </w:pPr>
      <w:r>
        <w:rPr>
          <w:rFonts w:ascii="Arial" w:hAnsi="Arial"/>
        </w:rPr>
        <w:t xml:space="preserve">This report sets out the key workforce policy developments that have taken place since the last Board meeting. </w:t>
      </w:r>
    </w:p>
    <w:p w14:paraId="7CA1A301" w14:textId="77777777" w:rsidR="00E5500F" w:rsidRDefault="00E5500F" w:rsidP="00E5500F">
      <w:pPr>
        <w:pStyle w:val="MainText"/>
        <w:spacing w:line="240" w:lineRule="auto"/>
        <w:rPr>
          <w:rFonts w:ascii="Arial" w:eastAsia="Arial" w:hAnsi="Arial" w:cs="Arial"/>
        </w:rPr>
      </w:pPr>
    </w:p>
    <w:tbl>
      <w:tblPr>
        <w:tblW w:w="92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70"/>
      </w:tblGrid>
      <w:tr w:rsidR="00E5500F" w14:paraId="7CA1A30A" w14:textId="77777777" w:rsidTr="00E5500F">
        <w:trPr>
          <w:trHeight w:val="2403"/>
        </w:trPr>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1A302" w14:textId="77777777" w:rsidR="00E5500F" w:rsidRDefault="00E5500F" w:rsidP="007C4509">
            <w:pPr>
              <w:pStyle w:val="MainText"/>
              <w:spacing w:line="240" w:lineRule="auto"/>
              <w:rPr>
                <w:rFonts w:ascii="Arial" w:eastAsia="Arial" w:hAnsi="Arial" w:cs="Arial"/>
                <w:b/>
                <w:bCs/>
              </w:rPr>
            </w:pPr>
            <w:r>
              <w:rPr>
                <w:rFonts w:ascii="Arial" w:hAnsi="Arial"/>
                <w:b/>
                <w:bCs/>
              </w:rPr>
              <w:t>Recommendation</w:t>
            </w:r>
          </w:p>
          <w:p w14:paraId="7CA1A303" w14:textId="77777777" w:rsidR="00E5500F" w:rsidRDefault="00E5500F" w:rsidP="007C4509">
            <w:pPr>
              <w:pStyle w:val="MainText"/>
              <w:spacing w:line="240" w:lineRule="auto"/>
              <w:rPr>
                <w:rFonts w:ascii="Arial" w:eastAsia="Arial" w:hAnsi="Arial" w:cs="Arial"/>
              </w:rPr>
            </w:pPr>
          </w:p>
          <w:p w14:paraId="7CA1A304" w14:textId="77777777" w:rsidR="00E5500F" w:rsidRPr="00E5500F" w:rsidRDefault="00E5500F" w:rsidP="00E5500F">
            <w:pPr>
              <w:pStyle w:val="MainText"/>
              <w:spacing w:line="240" w:lineRule="auto"/>
              <w:rPr>
                <w:rFonts w:ascii="Arial" w:hAnsi="Arial"/>
              </w:rPr>
            </w:pPr>
            <w:r>
              <w:rPr>
                <w:rFonts w:ascii="Arial" w:hAnsi="Arial"/>
              </w:rPr>
              <w:t>That members of the Resources Board note the report.</w:t>
            </w:r>
          </w:p>
          <w:p w14:paraId="7CA1A305" w14:textId="77777777" w:rsidR="00E5500F" w:rsidRPr="005C27B0" w:rsidRDefault="00E5500F" w:rsidP="007C4509">
            <w:pPr>
              <w:pStyle w:val="MainText"/>
              <w:spacing w:line="240" w:lineRule="auto"/>
              <w:ind w:left="720"/>
              <w:rPr>
                <w:rFonts w:ascii="Arial" w:eastAsia="Arial" w:hAnsi="Arial" w:cs="Arial"/>
              </w:rPr>
            </w:pPr>
          </w:p>
          <w:p w14:paraId="7CA1A306" w14:textId="77777777" w:rsidR="00E5500F" w:rsidRDefault="00E5500F" w:rsidP="007C4509">
            <w:pPr>
              <w:pStyle w:val="MainText"/>
              <w:spacing w:line="240" w:lineRule="auto"/>
              <w:rPr>
                <w:rFonts w:ascii="Arial" w:eastAsia="Arial" w:hAnsi="Arial" w:cs="Arial"/>
              </w:rPr>
            </w:pPr>
          </w:p>
          <w:p w14:paraId="7CA1A307" w14:textId="77777777" w:rsidR="00E5500F" w:rsidRDefault="00E5500F" w:rsidP="007C4509">
            <w:pPr>
              <w:pStyle w:val="MainText"/>
              <w:spacing w:line="240" w:lineRule="auto"/>
              <w:rPr>
                <w:rFonts w:ascii="Arial" w:eastAsia="Arial" w:hAnsi="Arial" w:cs="Arial"/>
                <w:b/>
                <w:bCs/>
              </w:rPr>
            </w:pPr>
            <w:r>
              <w:rPr>
                <w:rFonts w:ascii="Arial" w:hAnsi="Arial"/>
                <w:b/>
                <w:bCs/>
              </w:rPr>
              <w:t>Action</w:t>
            </w:r>
          </w:p>
          <w:p w14:paraId="7CA1A308" w14:textId="77777777" w:rsidR="00E5500F" w:rsidRDefault="00E5500F" w:rsidP="007C4509">
            <w:pPr>
              <w:pStyle w:val="MainText"/>
              <w:spacing w:line="240" w:lineRule="auto"/>
              <w:rPr>
                <w:rFonts w:ascii="Arial" w:eastAsia="Arial" w:hAnsi="Arial" w:cs="Arial"/>
                <w:b/>
                <w:bCs/>
              </w:rPr>
            </w:pPr>
          </w:p>
          <w:p w14:paraId="7CA1A309" w14:textId="77777777" w:rsidR="00E5500F" w:rsidRDefault="00E5500F" w:rsidP="007C4509">
            <w:pPr>
              <w:pStyle w:val="MainText"/>
              <w:spacing w:line="240" w:lineRule="auto"/>
            </w:pPr>
            <w:r>
              <w:rPr>
                <w:rFonts w:ascii="Arial" w:hAnsi="Arial"/>
              </w:rPr>
              <w:t xml:space="preserve">As directed by members. </w:t>
            </w:r>
          </w:p>
        </w:tc>
      </w:tr>
    </w:tbl>
    <w:p w14:paraId="7CA1A30B" w14:textId="77777777" w:rsidR="00E5500F" w:rsidRDefault="00E5500F" w:rsidP="00E5500F">
      <w:pPr>
        <w:pStyle w:val="MainText"/>
        <w:widowControl w:val="0"/>
        <w:spacing w:line="240" w:lineRule="auto"/>
        <w:rPr>
          <w:rFonts w:ascii="Arial" w:eastAsia="Arial" w:hAnsi="Arial" w:cs="Arial"/>
        </w:rPr>
      </w:pPr>
    </w:p>
    <w:p w14:paraId="7CA1A30C" w14:textId="77777777" w:rsidR="00E5500F" w:rsidRDefault="00E5500F" w:rsidP="00E5500F">
      <w:pPr>
        <w:pStyle w:val="MainText"/>
        <w:spacing w:line="240" w:lineRule="auto"/>
        <w:rPr>
          <w:rFonts w:ascii="Arial" w:eastAsia="Arial" w:hAnsi="Arial" w:cs="Arial"/>
        </w:rPr>
      </w:pPr>
    </w:p>
    <w:p w14:paraId="7CA1A30D" w14:textId="77777777" w:rsidR="00E5500F" w:rsidRDefault="00E5500F" w:rsidP="00E5500F">
      <w:pPr>
        <w:pStyle w:val="MainText"/>
        <w:spacing w:line="240" w:lineRule="auto"/>
        <w:rPr>
          <w:rFonts w:ascii="Arial" w:eastAsia="Arial" w:hAnsi="Arial" w:cs="Arial"/>
        </w:rPr>
      </w:pPr>
    </w:p>
    <w:tbl>
      <w:tblPr>
        <w:tblW w:w="90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74"/>
        <w:gridCol w:w="6297"/>
      </w:tblGrid>
      <w:tr w:rsidR="00E5500F" w14:paraId="7CA1A310" w14:textId="77777777" w:rsidTr="007C4509">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7CA1A30E" w14:textId="77777777" w:rsidR="00E5500F" w:rsidRDefault="00E5500F" w:rsidP="007C4509">
            <w:pPr>
              <w:pStyle w:val="MainText"/>
              <w:spacing w:before="120" w:line="240" w:lineRule="auto"/>
            </w:pPr>
            <w:r>
              <w:rPr>
                <w:rFonts w:ascii="Arial" w:hAnsi="Arial"/>
                <w:b/>
                <w:bCs/>
              </w:rPr>
              <w:t>Contact officer:</w:t>
            </w:r>
            <w:r>
              <w:rPr>
                <w:rFonts w:ascii="Arial" w:hAnsi="Arial"/>
              </w:rPr>
              <w:t xml:space="preserve"> </w:t>
            </w:r>
          </w:p>
        </w:tc>
        <w:tc>
          <w:tcPr>
            <w:tcW w:w="6297" w:type="dxa"/>
            <w:tcBorders>
              <w:top w:val="nil"/>
              <w:left w:val="nil"/>
              <w:bottom w:val="nil"/>
              <w:right w:val="nil"/>
            </w:tcBorders>
            <w:shd w:val="clear" w:color="auto" w:fill="auto"/>
            <w:tcMar>
              <w:top w:w="80" w:type="dxa"/>
              <w:left w:w="80" w:type="dxa"/>
              <w:bottom w:w="80" w:type="dxa"/>
              <w:right w:w="80" w:type="dxa"/>
            </w:tcMar>
          </w:tcPr>
          <w:p w14:paraId="7CA1A30F" w14:textId="77777777" w:rsidR="00E5500F" w:rsidRDefault="00E5500F" w:rsidP="007C4509">
            <w:pPr>
              <w:pStyle w:val="MainText"/>
              <w:spacing w:before="120" w:line="240" w:lineRule="auto"/>
            </w:pPr>
            <w:r>
              <w:rPr>
                <w:rFonts w:ascii="Arial" w:hAnsi="Arial"/>
              </w:rPr>
              <w:t xml:space="preserve">Naomi Cooke </w:t>
            </w:r>
          </w:p>
        </w:tc>
      </w:tr>
      <w:tr w:rsidR="00E5500F" w14:paraId="7CA1A313" w14:textId="77777777" w:rsidTr="007C4509">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7CA1A311" w14:textId="77777777" w:rsidR="00E5500F" w:rsidRDefault="00E5500F" w:rsidP="007C4509">
            <w:pPr>
              <w:pStyle w:val="MainText"/>
              <w:spacing w:before="120" w:line="240" w:lineRule="auto"/>
            </w:pPr>
            <w:r>
              <w:rPr>
                <w:rFonts w:ascii="Arial" w:hAnsi="Arial"/>
                <w:b/>
                <w:bCs/>
              </w:rPr>
              <w:t>Position:</w:t>
            </w:r>
          </w:p>
        </w:tc>
        <w:tc>
          <w:tcPr>
            <w:tcW w:w="6297" w:type="dxa"/>
            <w:tcBorders>
              <w:top w:val="nil"/>
              <w:left w:val="nil"/>
              <w:bottom w:val="nil"/>
              <w:right w:val="nil"/>
            </w:tcBorders>
            <w:shd w:val="clear" w:color="auto" w:fill="auto"/>
            <w:tcMar>
              <w:top w:w="80" w:type="dxa"/>
              <w:left w:w="80" w:type="dxa"/>
              <w:bottom w:w="80" w:type="dxa"/>
              <w:right w:w="80" w:type="dxa"/>
            </w:tcMar>
          </w:tcPr>
          <w:p w14:paraId="7CA1A312" w14:textId="77777777" w:rsidR="00E5500F" w:rsidRDefault="00E5500F" w:rsidP="007C4509">
            <w:pPr>
              <w:pStyle w:val="MainText"/>
              <w:spacing w:before="120" w:line="240" w:lineRule="auto"/>
            </w:pPr>
            <w:r>
              <w:rPr>
                <w:rFonts w:ascii="Arial" w:hAnsi="Arial"/>
              </w:rPr>
              <w:t>Head of Workforce</w:t>
            </w:r>
          </w:p>
        </w:tc>
      </w:tr>
      <w:tr w:rsidR="00E5500F" w14:paraId="7CA1A316" w14:textId="77777777" w:rsidTr="007C4509">
        <w:trPr>
          <w:trHeight w:val="253"/>
        </w:trPr>
        <w:tc>
          <w:tcPr>
            <w:tcW w:w="2774" w:type="dxa"/>
            <w:tcBorders>
              <w:top w:val="nil"/>
              <w:left w:val="nil"/>
              <w:bottom w:val="nil"/>
              <w:right w:val="nil"/>
            </w:tcBorders>
            <w:shd w:val="clear" w:color="auto" w:fill="auto"/>
            <w:tcMar>
              <w:top w:w="80" w:type="dxa"/>
              <w:left w:w="80" w:type="dxa"/>
              <w:bottom w:w="80" w:type="dxa"/>
              <w:right w:w="80" w:type="dxa"/>
            </w:tcMar>
          </w:tcPr>
          <w:p w14:paraId="7CA1A314" w14:textId="77777777" w:rsidR="00E5500F" w:rsidRDefault="00E5500F" w:rsidP="007C4509">
            <w:pPr>
              <w:pStyle w:val="MainText"/>
              <w:spacing w:before="120" w:line="240" w:lineRule="auto"/>
            </w:pPr>
            <w:r>
              <w:rPr>
                <w:rFonts w:ascii="Arial" w:hAnsi="Arial"/>
                <w:b/>
                <w:bCs/>
              </w:rPr>
              <w:t>Phone no:</w:t>
            </w:r>
          </w:p>
        </w:tc>
        <w:tc>
          <w:tcPr>
            <w:tcW w:w="6297" w:type="dxa"/>
            <w:tcBorders>
              <w:top w:val="nil"/>
              <w:left w:val="nil"/>
              <w:bottom w:val="nil"/>
              <w:right w:val="nil"/>
            </w:tcBorders>
            <w:shd w:val="clear" w:color="auto" w:fill="auto"/>
            <w:tcMar>
              <w:top w:w="80" w:type="dxa"/>
              <w:left w:w="80" w:type="dxa"/>
              <w:bottom w:w="80" w:type="dxa"/>
              <w:right w:w="80" w:type="dxa"/>
            </w:tcMar>
          </w:tcPr>
          <w:p w14:paraId="7CA1A315" w14:textId="77777777" w:rsidR="00E5500F" w:rsidRDefault="00E5500F" w:rsidP="007C4509">
            <w:pPr>
              <w:pStyle w:val="MainText"/>
              <w:spacing w:before="120" w:line="240" w:lineRule="auto"/>
            </w:pPr>
            <w:r>
              <w:rPr>
                <w:rFonts w:ascii="Arial" w:hAnsi="Arial"/>
              </w:rPr>
              <w:t>0207 664 3299</w:t>
            </w:r>
          </w:p>
        </w:tc>
      </w:tr>
      <w:tr w:rsidR="00E5500F" w14:paraId="7CA1A319" w14:textId="77777777" w:rsidTr="007C4509">
        <w:trPr>
          <w:trHeight w:val="347"/>
        </w:trPr>
        <w:tc>
          <w:tcPr>
            <w:tcW w:w="2774" w:type="dxa"/>
            <w:tcBorders>
              <w:top w:val="nil"/>
              <w:left w:val="nil"/>
              <w:bottom w:val="nil"/>
              <w:right w:val="nil"/>
            </w:tcBorders>
            <w:shd w:val="clear" w:color="auto" w:fill="auto"/>
            <w:tcMar>
              <w:top w:w="80" w:type="dxa"/>
              <w:left w:w="80" w:type="dxa"/>
              <w:bottom w:w="80" w:type="dxa"/>
              <w:right w:w="80" w:type="dxa"/>
            </w:tcMar>
          </w:tcPr>
          <w:p w14:paraId="7CA1A317" w14:textId="77777777" w:rsidR="00E5500F" w:rsidRDefault="00E5500F" w:rsidP="007C4509">
            <w:pPr>
              <w:pStyle w:val="MainText"/>
              <w:spacing w:before="120" w:line="240" w:lineRule="auto"/>
            </w:pPr>
            <w:r>
              <w:rPr>
                <w:rFonts w:ascii="Arial" w:hAnsi="Arial"/>
                <w:b/>
                <w:bCs/>
              </w:rPr>
              <w:t>Email:</w:t>
            </w:r>
          </w:p>
        </w:tc>
        <w:tc>
          <w:tcPr>
            <w:tcW w:w="6297" w:type="dxa"/>
            <w:tcBorders>
              <w:top w:val="nil"/>
              <w:left w:val="nil"/>
              <w:bottom w:val="nil"/>
              <w:right w:val="nil"/>
            </w:tcBorders>
            <w:shd w:val="clear" w:color="auto" w:fill="auto"/>
            <w:tcMar>
              <w:top w:w="80" w:type="dxa"/>
              <w:left w:w="80" w:type="dxa"/>
              <w:bottom w:w="80" w:type="dxa"/>
              <w:right w:w="80" w:type="dxa"/>
            </w:tcMar>
          </w:tcPr>
          <w:p w14:paraId="7CA1A318" w14:textId="77777777" w:rsidR="00E5500F" w:rsidRDefault="00E5500F" w:rsidP="007C4509">
            <w:pPr>
              <w:pStyle w:val="MainText"/>
              <w:spacing w:before="120" w:line="240" w:lineRule="auto"/>
            </w:pPr>
            <w:r>
              <w:rPr>
                <w:rFonts w:ascii="Arial" w:hAnsi="Arial"/>
              </w:rPr>
              <w:t>naomi.cooke@local.gov.uk</w:t>
            </w:r>
          </w:p>
        </w:tc>
      </w:tr>
    </w:tbl>
    <w:p w14:paraId="7CA1A31A" w14:textId="77777777" w:rsidR="006F5FED" w:rsidRDefault="00E37CF7"/>
    <w:p w14:paraId="7CA1A31B" w14:textId="77777777" w:rsidR="00124833" w:rsidRDefault="00124833"/>
    <w:p w14:paraId="7CA1A31C" w14:textId="77777777" w:rsidR="00E5500F" w:rsidRDefault="00E5500F">
      <w:pPr>
        <w:rPr>
          <w:b/>
        </w:rPr>
      </w:pPr>
    </w:p>
    <w:p w14:paraId="7CA1A31D" w14:textId="77777777" w:rsidR="00E5500F" w:rsidRDefault="00E5500F">
      <w:pPr>
        <w:rPr>
          <w:b/>
        </w:rPr>
      </w:pPr>
    </w:p>
    <w:p w14:paraId="7CA1A31E" w14:textId="77777777" w:rsidR="00E5500F" w:rsidRDefault="00E5500F">
      <w:pPr>
        <w:rPr>
          <w:b/>
        </w:rPr>
      </w:pPr>
    </w:p>
    <w:p w14:paraId="7CA1A31F" w14:textId="77777777" w:rsidR="00E5500F" w:rsidRDefault="00E5500F">
      <w:pPr>
        <w:rPr>
          <w:b/>
        </w:rPr>
      </w:pPr>
    </w:p>
    <w:p w14:paraId="7CA1A320" w14:textId="77777777" w:rsidR="00E5500F" w:rsidRDefault="00E5500F">
      <w:pPr>
        <w:rPr>
          <w:b/>
        </w:rPr>
      </w:pPr>
    </w:p>
    <w:p w14:paraId="7CA1A321" w14:textId="77777777" w:rsidR="00E5500F" w:rsidRDefault="00E5500F">
      <w:pPr>
        <w:rPr>
          <w:b/>
        </w:rPr>
      </w:pPr>
    </w:p>
    <w:p w14:paraId="7CA1A322" w14:textId="77777777" w:rsidR="00E5500F" w:rsidRDefault="00E5500F">
      <w:pPr>
        <w:rPr>
          <w:b/>
        </w:rPr>
      </w:pPr>
    </w:p>
    <w:p w14:paraId="7CA1A323" w14:textId="77777777" w:rsidR="00E5500F" w:rsidRDefault="00E5500F">
      <w:pPr>
        <w:rPr>
          <w:b/>
        </w:rPr>
      </w:pPr>
    </w:p>
    <w:p w14:paraId="7CA1A324" w14:textId="77777777" w:rsidR="00E5500F" w:rsidRDefault="00E5500F">
      <w:pPr>
        <w:rPr>
          <w:b/>
        </w:rPr>
      </w:pPr>
    </w:p>
    <w:p w14:paraId="7CA1A325" w14:textId="77777777" w:rsidR="00E5500F" w:rsidRDefault="00E5500F">
      <w:pPr>
        <w:rPr>
          <w:b/>
        </w:rPr>
      </w:pPr>
    </w:p>
    <w:p w14:paraId="7CA1A326" w14:textId="77777777" w:rsidR="00E5500F" w:rsidRDefault="00E5500F">
      <w:pPr>
        <w:rPr>
          <w:b/>
        </w:rPr>
      </w:pPr>
    </w:p>
    <w:p w14:paraId="7CA1A327" w14:textId="77777777" w:rsidR="00E5500F" w:rsidRPr="00E5500F" w:rsidRDefault="00E5500F" w:rsidP="00E5500F">
      <w:pPr>
        <w:pStyle w:val="LGAItemNoHeading"/>
        <w:spacing w:before="240"/>
        <w:rPr>
          <w:rFonts w:ascii="Arial" w:eastAsia="Arial" w:hAnsi="Arial" w:cs="Arial"/>
          <w:sz w:val="28"/>
          <w:szCs w:val="28"/>
          <w:u w:val="single"/>
        </w:rPr>
      </w:pPr>
      <w:r w:rsidRPr="00E5500F">
        <w:rPr>
          <w:rFonts w:ascii="Arial" w:hAnsi="Arial"/>
          <w:sz w:val="28"/>
          <w:szCs w:val="28"/>
          <w:u w:val="single"/>
        </w:rPr>
        <w:lastRenderedPageBreak/>
        <w:t xml:space="preserve">Appendix B – Workforce Update </w:t>
      </w:r>
    </w:p>
    <w:p w14:paraId="7CA1A328" w14:textId="77777777" w:rsidR="00E5500F" w:rsidRDefault="00E5500F">
      <w:pPr>
        <w:rPr>
          <w:b/>
        </w:rPr>
      </w:pPr>
    </w:p>
    <w:p w14:paraId="7CA1A329" w14:textId="77777777" w:rsidR="00124833" w:rsidRPr="008F5717" w:rsidRDefault="00124833">
      <w:pPr>
        <w:rPr>
          <w:b/>
        </w:rPr>
      </w:pPr>
      <w:r w:rsidRPr="008F5717">
        <w:rPr>
          <w:b/>
        </w:rPr>
        <w:t>Pay negotiations</w:t>
      </w:r>
    </w:p>
    <w:p w14:paraId="7CA1A32A" w14:textId="77777777" w:rsidR="00124833" w:rsidRDefault="00124833"/>
    <w:p w14:paraId="7CA1A32B" w14:textId="77777777" w:rsidR="00124833" w:rsidRPr="008F5717" w:rsidRDefault="00124833">
      <w:pPr>
        <w:rPr>
          <w:b/>
        </w:rPr>
      </w:pPr>
      <w:r w:rsidRPr="008F5717">
        <w:rPr>
          <w:b/>
        </w:rPr>
        <w:t>Local Government Services</w:t>
      </w:r>
    </w:p>
    <w:p w14:paraId="7CA1A32C" w14:textId="77777777" w:rsidR="00E5500F" w:rsidRDefault="00E5500F" w:rsidP="00124833"/>
    <w:p w14:paraId="7CA1A32D" w14:textId="77777777" w:rsidR="00124833" w:rsidRDefault="00124833" w:rsidP="00E5500F">
      <w:pPr>
        <w:pStyle w:val="ListParagraph"/>
        <w:numPr>
          <w:ilvl w:val="0"/>
          <w:numId w:val="2"/>
        </w:numPr>
        <w:ind w:left="284" w:hanging="284"/>
      </w:pPr>
      <w:r>
        <w:t>The new Local Government Services pay spine that was part of the two-year pay agreement reached earlier this year will be introduced in April 2019.  The workforce team has continued to work with regional employers and other regionalised networks to support councils in taking forward the practical implications of the potential changes to pay structures.</w:t>
      </w:r>
    </w:p>
    <w:p w14:paraId="7CA1A32E" w14:textId="77777777" w:rsidR="00124833" w:rsidRDefault="00124833"/>
    <w:p w14:paraId="7CA1A32F" w14:textId="77777777" w:rsidR="00124833" w:rsidRPr="008F5717" w:rsidRDefault="00124833" w:rsidP="00124833">
      <w:pPr>
        <w:rPr>
          <w:b/>
        </w:rPr>
      </w:pPr>
      <w:r w:rsidRPr="008F5717">
        <w:rPr>
          <w:b/>
        </w:rPr>
        <w:t>Youth &amp; Community/Soulbury</w:t>
      </w:r>
    </w:p>
    <w:p w14:paraId="7CA1A330" w14:textId="77777777" w:rsidR="00E5500F" w:rsidRDefault="00E5500F" w:rsidP="00124833"/>
    <w:p w14:paraId="7CA1A331" w14:textId="77777777" w:rsidR="00124833" w:rsidRDefault="00124833" w:rsidP="00E5500F">
      <w:pPr>
        <w:pStyle w:val="ListParagraph"/>
        <w:numPr>
          <w:ilvl w:val="0"/>
          <w:numId w:val="2"/>
        </w:numPr>
        <w:ind w:left="284" w:hanging="284"/>
      </w:pPr>
      <w:r>
        <w:t>Two year agreements have reached covering Youth &amp; Community and Soulbury negotiating groups. The agreements will apply 2% increases for both groups in each of September 2018 and September 2019.  The agreement for youth workers includes an element of bottom loaded that reflects increases for lower paid Green Book employees.</w:t>
      </w:r>
    </w:p>
    <w:p w14:paraId="7CA1A332" w14:textId="77777777" w:rsidR="00124833" w:rsidRDefault="00124833" w:rsidP="00124833"/>
    <w:p w14:paraId="7CA1A333" w14:textId="77777777" w:rsidR="00124833" w:rsidRPr="008F5717" w:rsidRDefault="00124833" w:rsidP="00124833">
      <w:pPr>
        <w:rPr>
          <w:b/>
        </w:rPr>
      </w:pPr>
      <w:r w:rsidRPr="008F5717">
        <w:rPr>
          <w:b/>
        </w:rPr>
        <w:t>Firefighters</w:t>
      </w:r>
    </w:p>
    <w:p w14:paraId="7CA1A334" w14:textId="77777777" w:rsidR="00E5500F" w:rsidRDefault="00E5500F" w:rsidP="00124833"/>
    <w:p w14:paraId="7CA1A335" w14:textId="77777777" w:rsidR="00124833" w:rsidRDefault="00E5500F" w:rsidP="00E5500F">
      <w:pPr>
        <w:pStyle w:val="ListParagraph"/>
        <w:numPr>
          <w:ilvl w:val="0"/>
          <w:numId w:val="2"/>
        </w:numPr>
        <w:ind w:left="284" w:hanging="284"/>
      </w:pPr>
      <w:r>
        <w:t>For firefighters two per cent</w:t>
      </w:r>
      <w:r w:rsidR="00124833">
        <w:t xml:space="preserve"> has been agreed as an interim increase from July 2018 while negotiations continue on broadening the role of firefighters.  Any agreement will be dependent on new funding from the UK government and the devolved administrations.</w:t>
      </w:r>
    </w:p>
    <w:p w14:paraId="7CA1A336" w14:textId="77777777" w:rsidR="00124833" w:rsidRDefault="00124833" w:rsidP="00124833"/>
    <w:p w14:paraId="7CA1A337" w14:textId="77777777" w:rsidR="00124833" w:rsidRDefault="00124833">
      <w:pPr>
        <w:rPr>
          <w:b/>
        </w:rPr>
      </w:pPr>
      <w:r w:rsidRPr="008F5717">
        <w:rPr>
          <w:b/>
        </w:rPr>
        <w:t>Teachers</w:t>
      </w:r>
    </w:p>
    <w:p w14:paraId="7CA1A338" w14:textId="77777777" w:rsidR="00E5500F" w:rsidRPr="008F5717" w:rsidRDefault="00E5500F">
      <w:pPr>
        <w:rPr>
          <w:b/>
        </w:rPr>
      </w:pPr>
    </w:p>
    <w:p w14:paraId="7CA1A339" w14:textId="77777777" w:rsidR="00E5500F" w:rsidRDefault="00E5500F" w:rsidP="00E5500F">
      <w:pPr>
        <w:pStyle w:val="ListParagraph"/>
        <w:numPr>
          <w:ilvl w:val="0"/>
          <w:numId w:val="2"/>
        </w:numPr>
        <w:ind w:left="284" w:hanging="284"/>
      </w:pPr>
      <w:r>
        <w:t xml:space="preserve">The </w:t>
      </w:r>
      <w:r w:rsidR="00124833">
        <w:t>D</w:t>
      </w:r>
      <w:r>
        <w:t xml:space="preserve">epartment of </w:t>
      </w:r>
      <w:r w:rsidR="00124833">
        <w:t>E</w:t>
      </w:r>
      <w:r>
        <w:t xml:space="preserve">ducation (DfE) </w:t>
      </w:r>
      <w:r w:rsidR="00124833">
        <w:t>confirmed arrangements to fund teache</w:t>
      </w:r>
      <w:r>
        <w:t xml:space="preserve">rs’ pay increases (3.5 – to 1.5 per cent) above the one per cent </w:t>
      </w:r>
      <w:r w:rsidR="00124833">
        <w:t>anticipated increase and in-line with t</w:t>
      </w:r>
      <w:r>
        <w:t xml:space="preserve">he statutory pay and conditions </w:t>
      </w:r>
      <w:hyperlink r:id="rId7" w:history="1">
        <w:r w:rsidR="00124833" w:rsidRPr="00E5500F">
          <w:rPr>
            <w:rStyle w:val="Hyperlink"/>
          </w:rPr>
          <w:t>document</w:t>
        </w:r>
      </w:hyperlink>
      <w:r w:rsidR="00124833">
        <w:t>.   </w:t>
      </w:r>
    </w:p>
    <w:p w14:paraId="7CA1A33A" w14:textId="77777777" w:rsidR="00124833" w:rsidRDefault="00E5500F" w:rsidP="00E5500F">
      <w:pPr>
        <w:pStyle w:val="ListParagraph"/>
        <w:ind w:left="284"/>
      </w:pPr>
      <w:r>
        <w:t xml:space="preserve"> </w:t>
      </w:r>
    </w:p>
    <w:p w14:paraId="7CA1A33B" w14:textId="77777777" w:rsidR="00124833" w:rsidRPr="007E2002" w:rsidRDefault="00124833" w:rsidP="00E5500F">
      <w:pPr>
        <w:pStyle w:val="ListParagraph"/>
        <w:numPr>
          <w:ilvl w:val="0"/>
          <w:numId w:val="2"/>
        </w:numPr>
        <w:ind w:left="284" w:hanging="284"/>
      </w:pPr>
      <w:r w:rsidRPr="007E2002">
        <w:t xml:space="preserve">This decision excludes teachers’ who are employed centrally by local authorities (3800 full time equivalent) the majority of which provide music services.  The LGA has lobbied hard for the estimated </w:t>
      </w:r>
      <w:r w:rsidR="00E5500F">
        <w:t>£</w:t>
      </w:r>
      <w:r w:rsidRPr="007E2002">
        <w:t>5.5 million funding gap to be covered by the pay grant. The Secretary of State has responded explaining that the complex nature of the funding streams makes it difficult to include in any formula and so is expecting local authorities to manage these costs.</w:t>
      </w:r>
    </w:p>
    <w:p w14:paraId="7CA1A33C" w14:textId="77777777" w:rsidR="00124833" w:rsidRDefault="00124833" w:rsidP="00E5500F">
      <w:pPr>
        <w:ind w:left="284" w:hanging="284"/>
      </w:pPr>
    </w:p>
    <w:p w14:paraId="7CA1A33D" w14:textId="77777777" w:rsidR="00124833" w:rsidRDefault="00E5500F" w:rsidP="00E5500F">
      <w:pPr>
        <w:pStyle w:val="ListParagraph"/>
        <w:numPr>
          <w:ilvl w:val="0"/>
          <w:numId w:val="2"/>
        </w:numPr>
        <w:ind w:left="284" w:hanging="284"/>
      </w:pPr>
      <w:r>
        <w:t>The funding totalling £508 m</w:t>
      </w:r>
      <w:r w:rsidR="00124833">
        <w:t>illion covers a 19 month period up until March 2020.  Future funding of these ongoing costs will be subject to next year’s spending review.</w:t>
      </w:r>
    </w:p>
    <w:p w14:paraId="7CA1A33E" w14:textId="77777777" w:rsidR="00124833" w:rsidRDefault="00124833" w:rsidP="00E5500F">
      <w:pPr>
        <w:ind w:left="284" w:hanging="284"/>
      </w:pPr>
    </w:p>
    <w:p w14:paraId="7CA1A33F" w14:textId="77777777" w:rsidR="00124833" w:rsidRDefault="00124833" w:rsidP="00E5500F">
      <w:pPr>
        <w:pStyle w:val="ListParagraph"/>
        <w:numPr>
          <w:ilvl w:val="0"/>
          <w:numId w:val="2"/>
        </w:numPr>
        <w:ind w:left="284" w:hanging="284"/>
      </w:pPr>
      <w:r>
        <w:t xml:space="preserve">Local authorities are expected to be in a position to distribute the DfE grant to maintained schools in this Autumn term as </w:t>
      </w:r>
      <w:hyperlink r:id="rId8" w:history="1">
        <w:r w:rsidRPr="00E5500F">
          <w:rPr>
            <w:rStyle w:val="Hyperlink"/>
          </w:rPr>
          <w:t>published in the pay grant allocations</w:t>
        </w:r>
      </w:hyperlink>
      <w:r w:rsidR="00E5500F">
        <w:t>.</w:t>
      </w:r>
    </w:p>
    <w:p w14:paraId="7CA1A340" w14:textId="77777777" w:rsidR="00124833" w:rsidRDefault="00124833"/>
    <w:p w14:paraId="7CA1A341" w14:textId="77777777" w:rsidR="007E2002" w:rsidRDefault="007E2002" w:rsidP="007E2002">
      <w:pPr>
        <w:rPr>
          <w:rFonts w:eastAsia="Times New Roman"/>
          <w:b/>
        </w:rPr>
      </w:pPr>
      <w:r>
        <w:rPr>
          <w:rFonts w:eastAsia="Times New Roman"/>
          <w:b/>
        </w:rPr>
        <w:t>Foundation Living Wage</w:t>
      </w:r>
    </w:p>
    <w:p w14:paraId="7CA1A342" w14:textId="77777777" w:rsidR="00E5500F" w:rsidRDefault="00E5500F" w:rsidP="007E2002">
      <w:pPr>
        <w:rPr>
          <w:rFonts w:eastAsia="Times New Roman"/>
          <w:b/>
        </w:rPr>
      </w:pPr>
    </w:p>
    <w:p w14:paraId="7CA1A343" w14:textId="77777777" w:rsidR="007E2002" w:rsidRPr="00E5500F" w:rsidRDefault="007E2002" w:rsidP="00E5500F">
      <w:pPr>
        <w:pStyle w:val="ListParagraph"/>
        <w:numPr>
          <w:ilvl w:val="0"/>
          <w:numId w:val="2"/>
        </w:numPr>
        <w:ind w:left="284" w:hanging="284"/>
        <w:rPr>
          <w:b/>
        </w:rPr>
      </w:pPr>
      <w:r w:rsidRPr="00E5500F">
        <w:rPr>
          <w:rFonts w:eastAsia="Times New Roman"/>
        </w:rPr>
        <w:t>The Living Wage Foundation (LWF) has just announced the increase in the 'voluntary' living wage from next April. It will increase from £8.75 to £9 an ho</w:t>
      </w:r>
      <w:r w:rsidR="00E5500F">
        <w:rPr>
          <w:rFonts w:eastAsia="Times New Roman"/>
        </w:rPr>
        <w:t xml:space="preserve">ur, an increase of 2.9 </w:t>
      </w:r>
      <w:r w:rsidR="00E5500F">
        <w:rPr>
          <w:rFonts w:eastAsia="Times New Roman"/>
        </w:rPr>
        <w:lastRenderedPageBreak/>
        <w:t>per cent</w:t>
      </w:r>
      <w:r w:rsidRPr="00E5500F">
        <w:rPr>
          <w:rFonts w:eastAsia="Times New Roman"/>
        </w:rPr>
        <w:t>. This means that it will exactly match the lowest rate within the NJC agreement when the new pay spine is introduced on 1 April. While this is positive, it does not change the long established national employers' position that the adoption of the LWF rate is a matter of local choice. </w:t>
      </w:r>
    </w:p>
    <w:p w14:paraId="7CA1A344" w14:textId="77777777" w:rsidR="005C2C6E" w:rsidRDefault="005C2C6E" w:rsidP="0018611C">
      <w:pPr>
        <w:rPr>
          <w:b/>
        </w:rPr>
      </w:pPr>
    </w:p>
    <w:p w14:paraId="7CA1A345" w14:textId="77777777" w:rsidR="0018611C" w:rsidRPr="004D4993" w:rsidRDefault="0018611C" w:rsidP="0018611C">
      <w:pPr>
        <w:rPr>
          <w:b/>
        </w:rPr>
      </w:pPr>
      <w:r w:rsidRPr="004D4993">
        <w:rPr>
          <w:b/>
        </w:rPr>
        <w:t>Greenwich settlement of term-time only employees’ annual leave claim</w:t>
      </w:r>
    </w:p>
    <w:p w14:paraId="7CA1A346" w14:textId="77777777" w:rsidR="00E5500F" w:rsidRDefault="00E5500F" w:rsidP="0018611C"/>
    <w:p w14:paraId="7CA1A347" w14:textId="77777777" w:rsidR="0018611C" w:rsidRDefault="0018611C" w:rsidP="00E5500F">
      <w:pPr>
        <w:pStyle w:val="ListParagraph"/>
        <w:numPr>
          <w:ilvl w:val="0"/>
          <w:numId w:val="2"/>
        </w:numPr>
        <w:ind w:left="426" w:hanging="426"/>
      </w:pPr>
      <w:r>
        <w:t>The Royal Borough of Greenwich has approved a proposal to settle claims brought by its term-time only employees, and backed by Unison and GMB, concerning the calculation of their pro-rata annual leave entitlement.</w:t>
      </w:r>
    </w:p>
    <w:p w14:paraId="7CA1A348" w14:textId="77777777" w:rsidR="00475A20" w:rsidRDefault="00475A20" w:rsidP="00E5500F">
      <w:pPr>
        <w:ind w:left="426" w:hanging="426"/>
      </w:pPr>
    </w:p>
    <w:p w14:paraId="7CA1A349" w14:textId="77777777" w:rsidR="0018611C" w:rsidRDefault="0018611C" w:rsidP="00E5500F">
      <w:pPr>
        <w:pStyle w:val="ListParagraph"/>
        <w:numPr>
          <w:ilvl w:val="0"/>
          <w:numId w:val="2"/>
        </w:numPr>
        <w:ind w:left="426" w:hanging="426"/>
      </w:pPr>
      <w:r>
        <w:t xml:space="preserve">The council had calculated the annual leave for term-time only employees by using their working weeks (i.e. 39) as a proportion of a full-time employees total working weeks plus annual leave (i.e. 52.179). This resulted in a figure of 23.17 days. However, the term-time only employees argued that the calculation should be based on a full-time employee’s working weeks only (e.g. 44.4), which results in a higher annual leave entitlement of 27.2 days. </w:t>
      </w:r>
    </w:p>
    <w:p w14:paraId="7CA1A34A" w14:textId="77777777" w:rsidR="00475A20" w:rsidRDefault="00475A20" w:rsidP="00E5500F">
      <w:pPr>
        <w:ind w:left="426" w:hanging="426"/>
      </w:pPr>
    </w:p>
    <w:p w14:paraId="7CA1A34B" w14:textId="77777777" w:rsidR="0018611C" w:rsidRDefault="0018611C" w:rsidP="00E5500F">
      <w:pPr>
        <w:pStyle w:val="ListParagraph"/>
        <w:numPr>
          <w:ilvl w:val="0"/>
          <w:numId w:val="2"/>
        </w:numPr>
        <w:ind w:left="426" w:hanging="426"/>
      </w:pPr>
      <w:r>
        <w:t xml:space="preserve">The council proposes to accept the unions’ settlement offer, rather than let the matter be determined by an employment tribunal, as it believes losing the case could result in a far greater liability, plus costs. </w:t>
      </w:r>
    </w:p>
    <w:p w14:paraId="7CA1A34C" w14:textId="77777777" w:rsidR="00475A20" w:rsidRDefault="00475A20" w:rsidP="00E5500F">
      <w:pPr>
        <w:ind w:left="426" w:hanging="426"/>
      </w:pPr>
    </w:p>
    <w:p w14:paraId="7CA1A34D" w14:textId="77777777" w:rsidR="0018611C" w:rsidRDefault="0018611C" w:rsidP="00E5500F">
      <w:pPr>
        <w:pStyle w:val="ListParagraph"/>
        <w:numPr>
          <w:ilvl w:val="0"/>
          <w:numId w:val="2"/>
        </w:numPr>
        <w:ind w:left="426" w:hanging="426"/>
      </w:pPr>
      <w:r>
        <w:t>The settlement is expected to cost the council £3.7</w:t>
      </w:r>
      <w:r w:rsidR="00E5500F">
        <w:t xml:space="preserve"> </w:t>
      </w:r>
      <w:r>
        <w:t>million. This represents the cost of the shortf</w:t>
      </w:r>
      <w:r w:rsidR="00E5500F">
        <w:t>all in annual leave going back five years and three</w:t>
      </w:r>
      <w:r>
        <w:t xml:space="preserve"> months. The revised method of calculation will be used with effect from 1 April 2018 onwards.</w:t>
      </w:r>
    </w:p>
    <w:p w14:paraId="7CA1A34E" w14:textId="77777777" w:rsidR="00475A20" w:rsidRDefault="00475A20" w:rsidP="00E5500F">
      <w:pPr>
        <w:ind w:left="426" w:hanging="426"/>
      </w:pPr>
    </w:p>
    <w:p w14:paraId="7CA1A34F" w14:textId="77777777" w:rsidR="0018611C" w:rsidRDefault="0018611C" w:rsidP="00E5500F">
      <w:pPr>
        <w:pStyle w:val="ListParagraph"/>
        <w:numPr>
          <w:ilvl w:val="0"/>
          <w:numId w:val="2"/>
        </w:numPr>
        <w:ind w:left="426" w:hanging="426"/>
      </w:pPr>
      <w:r>
        <w:t xml:space="preserve">Press reports indicate that Unison is pursuing one other case against a council and investigating whether action can be taken in two others. </w:t>
      </w:r>
    </w:p>
    <w:p w14:paraId="7CA1A350" w14:textId="77777777" w:rsidR="00475A20" w:rsidRDefault="00475A20" w:rsidP="00E5500F">
      <w:pPr>
        <w:ind w:left="426" w:hanging="426"/>
      </w:pPr>
    </w:p>
    <w:p w14:paraId="7CA1A351" w14:textId="77777777" w:rsidR="0018611C" w:rsidRDefault="0018611C" w:rsidP="00E5500F">
      <w:pPr>
        <w:pStyle w:val="ListParagraph"/>
        <w:numPr>
          <w:ilvl w:val="0"/>
          <w:numId w:val="2"/>
        </w:numPr>
        <w:ind w:left="426" w:hanging="426"/>
      </w:pPr>
      <w:r>
        <w:t xml:space="preserve">Guidance on the employment terms and conditions of term-time only employees, including in relation to the calculation of annual leave, developed by an NJC working party, is in the process of being finalised by both sides. </w:t>
      </w:r>
    </w:p>
    <w:p w14:paraId="7CA1A352" w14:textId="77777777" w:rsidR="006E3CC4" w:rsidRDefault="006E3CC4" w:rsidP="008F5717"/>
    <w:p w14:paraId="7CA1A353" w14:textId="77777777" w:rsidR="006E3CC4" w:rsidRPr="006E3CC4" w:rsidRDefault="006E3CC4" w:rsidP="008F5717">
      <w:pPr>
        <w:rPr>
          <w:b/>
        </w:rPr>
      </w:pPr>
      <w:r w:rsidRPr="006E3CC4">
        <w:rPr>
          <w:b/>
        </w:rPr>
        <w:t>Pensions</w:t>
      </w:r>
    </w:p>
    <w:p w14:paraId="7CA1A354" w14:textId="77777777" w:rsidR="00E5500F" w:rsidRDefault="00E5500F" w:rsidP="006E3CC4"/>
    <w:p w14:paraId="7CA1A355" w14:textId="77777777" w:rsidR="006E3CC4" w:rsidRDefault="006E3CC4" w:rsidP="00E5500F">
      <w:pPr>
        <w:pStyle w:val="ListParagraph"/>
        <w:numPr>
          <w:ilvl w:val="0"/>
          <w:numId w:val="2"/>
        </w:numPr>
        <w:ind w:left="284"/>
      </w:pPr>
      <w:r>
        <w:t>Discussions continue with Government and employee representatives via the public sector scheme advisory boards of the Teachers, Firefighters and Local Government pension schemes in respect of the funding implications of the potential employer contribution and member benefit increases from 2019. A verbal update on those discussions will be provided to the meeting.</w:t>
      </w:r>
    </w:p>
    <w:p w14:paraId="7CA1A356" w14:textId="77777777" w:rsidR="0018611C" w:rsidRDefault="0018611C" w:rsidP="008F5717">
      <w:pPr>
        <w:rPr>
          <w:b/>
        </w:rPr>
      </w:pPr>
    </w:p>
    <w:p w14:paraId="7CA1A357" w14:textId="77777777" w:rsidR="008F5717" w:rsidRPr="000B52BB" w:rsidRDefault="008F5717" w:rsidP="008F5717">
      <w:pPr>
        <w:rPr>
          <w:b/>
        </w:rPr>
      </w:pPr>
      <w:r w:rsidRPr="000B52BB">
        <w:rPr>
          <w:b/>
        </w:rPr>
        <w:t>Workforce</w:t>
      </w:r>
      <w:r>
        <w:rPr>
          <w:b/>
        </w:rPr>
        <w:t xml:space="preserve"> Strategy Team</w:t>
      </w:r>
    </w:p>
    <w:p w14:paraId="7CA1A358" w14:textId="77777777" w:rsidR="008F5717" w:rsidRDefault="008F5717" w:rsidP="008F5717"/>
    <w:p w14:paraId="7CA1A359" w14:textId="77777777" w:rsidR="008F5717" w:rsidRPr="000B52BB" w:rsidRDefault="008F5717" w:rsidP="008F5717">
      <w:pPr>
        <w:rPr>
          <w:b/>
        </w:rPr>
      </w:pPr>
      <w:r w:rsidRPr="000B52BB">
        <w:rPr>
          <w:b/>
        </w:rPr>
        <w:t xml:space="preserve">Direct </w:t>
      </w:r>
      <w:r w:rsidR="00E5500F">
        <w:rPr>
          <w:b/>
        </w:rPr>
        <w:t>S</w:t>
      </w:r>
      <w:r w:rsidRPr="000B52BB">
        <w:rPr>
          <w:b/>
        </w:rPr>
        <w:t xml:space="preserve">upport to </w:t>
      </w:r>
      <w:r w:rsidR="00E5500F">
        <w:rPr>
          <w:b/>
        </w:rPr>
        <w:t>C</w:t>
      </w:r>
      <w:r w:rsidRPr="000B52BB">
        <w:rPr>
          <w:b/>
        </w:rPr>
        <w:t>ouncils</w:t>
      </w:r>
    </w:p>
    <w:p w14:paraId="7CA1A35A" w14:textId="77777777" w:rsidR="00E5500F" w:rsidRDefault="00E5500F" w:rsidP="008F5717"/>
    <w:p w14:paraId="7CA1A35B" w14:textId="77777777" w:rsidR="008F5717" w:rsidRDefault="008F5717" w:rsidP="00E5500F">
      <w:pPr>
        <w:pStyle w:val="ListParagraph"/>
        <w:numPr>
          <w:ilvl w:val="0"/>
          <w:numId w:val="2"/>
        </w:numPr>
        <w:ind w:left="284"/>
      </w:pPr>
      <w:r w:rsidRPr="000B52BB">
        <w:t xml:space="preserve">During the course of this financial year we have provided direct support to approximately sixty five local authorities. This casework varies from the provision of pay and grading advice to organisational design and employee engagement. Importantly; it often requires </w:t>
      </w:r>
      <w:r w:rsidRPr="000B52BB">
        <w:lastRenderedPageBreak/>
        <w:t>the team to help elected members resolve the most complex senior manager employee relations casework</w:t>
      </w:r>
      <w:r>
        <w:t>.</w:t>
      </w:r>
    </w:p>
    <w:p w14:paraId="7CA1A35C" w14:textId="77777777" w:rsidR="008F5717" w:rsidRDefault="008F5717" w:rsidP="008F5717"/>
    <w:p w14:paraId="7CA1A35D" w14:textId="77777777" w:rsidR="008F5717" w:rsidRDefault="00E5500F" w:rsidP="008F5717">
      <w:pPr>
        <w:rPr>
          <w:rFonts w:eastAsia="Times New Roman"/>
          <w:b/>
        </w:rPr>
      </w:pPr>
      <w:r>
        <w:rPr>
          <w:rFonts w:eastAsia="Times New Roman"/>
          <w:b/>
        </w:rPr>
        <w:t>Modern D</w:t>
      </w:r>
      <w:r w:rsidR="008F5717" w:rsidRPr="005936D5">
        <w:rPr>
          <w:rFonts w:eastAsia="Times New Roman"/>
          <w:b/>
        </w:rPr>
        <w:t xml:space="preserve">igital </w:t>
      </w:r>
      <w:r>
        <w:rPr>
          <w:rFonts w:eastAsia="Times New Roman"/>
          <w:b/>
        </w:rPr>
        <w:t>W</w:t>
      </w:r>
      <w:r w:rsidR="008F5717" w:rsidRPr="005936D5">
        <w:rPr>
          <w:rFonts w:eastAsia="Times New Roman"/>
          <w:b/>
        </w:rPr>
        <w:t>orkplaces</w:t>
      </w:r>
    </w:p>
    <w:p w14:paraId="7CA1A35E" w14:textId="77777777" w:rsidR="00E5500F" w:rsidRPr="005936D5" w:rsidRDefault="00E5500F" w:rsidP="008F5717">
      <w:pPr>
        <w:rPr>
          <w:rFonts w:eastAsia="Times New Roman"/>
          <w:b/>
        </w:rPr>
      </w:pPr>
    </w:p>
    <w:p w14:paraId="7CA1A35F" w14:textId="77777777" w:rsidR="008F5717" w:rsidRPr="00E5500F" w:rsidRDefault="008F5717" w:rsidP="00E5500F">
      <w:pPr>
        <w:pStyle w:val="ListParagraph"/>
        <w:numPr>
          <w:ilvl w:val="0"/>
          <w:numId w:val="2"/>
        </w:numPr>
        <w:ind w:left="426" w:hanging="426"/>
        <w:rPr>
          <w:rFonts w:eastAsia="Times New Roman"/>
        </w:rPr>
      </w:pPr>
      <w:r w:rsidRPr="00E5500F">
        <w:rPr>
          <w:rFonts w:eastAsia="Times New Roman"/>
        </w:rPr>
        <w:t>We have produced the first two videos in a series of case studies looking at how adopting new technologies is changing the nature of work and employment in local authorities.  We are also working with MHCLG to explore ways of supporting digital leadership capability for senior officers as part of the Local Digital Declaration launched at this year’s LGA conference.  </w:t>
      </w:r>
    </w:p>
    <w:p w14:paraId="7CA1A360" w14:textId="77777777" w:rsidR="008F5717" w:rsidRDefault="008F5717" w:rsidP="008F5717">
      <w:pPr>
        <w:rPr>
          <w:rFonts w:eastAsia="Times New Roman"/>
        </w:rPr>
      </w:pPr>
    </w:p>
    <w:p w14:paraId="7CA1A361" w14:textId="77777777" w:rsidR="008F5717" w:rsidRDefault="008F5717" w:rsidP="008F5717">
      <w:pPr>
        <w:rPr>
          <w:b/>
        </w:rPr>
      </w:pPr>
      <w:r w:rsidRPr="007A208B">
        <w:rPr>
          <w:b/>
        </w:rPr>
        <w:t>G</w:t>
      </w:r>
      <w:r w:rsidR="00E5500F">
        <w:rPr>
          <w:b/>
        </w:rPr>
        <w:t>ood P</w:t>
      </w:r>
      <w:r w:rsidRPr="007A208B">
        <w:rPr>
          <w:b/>
        </w:rPr>
        <w:t>ractice</w:t>
      </w:r>
    </w:p>
    <w:p w14:paraId="7CA1A362" w14:textId="77777777" w:rsidR="00E5500F" w:rsidRPr="007A208B" w:rsidRDefault="00E5500F" w:rsidP="008F5717">
      <w:pPr>
        <w:rPr>
          <w:b/>
        </w:rPr>
      </w:pPr>
    </w:p>
    <w:p w14:paraId="7CA1A363" w14:textId="77777777" w:rsidR="008F5717" w:rsidRDefault="008F5717" w:rsidP="00E5500F">
      <w:pPr>
        <w:pStyle w:val="ListParagraph"/>
        <w:numPr>
          <w:ilvl w:val="0"/>
          <w:numId w:val="2"/>
        </w:numPr>
        <w:ind w:left="426" w:hanging="426"/>
      </w:pPr>
      <w:r w:rsidRPr="007A208B">
        <w:t>The workforce team has provided support to both of the new unitary councils in Dorset. This support has been at an officer and elected member level. Early meetings of both shadow authorities were attended by Cllr Ro</w:t>
      </w:r>
      <w:r>
        <w:t>ger Philips and Baroness Scott, who were able to provide a member</w:t>
      </w:r>
      <w:r w:rsidRPr="007A208B">
        <w:t xml:space="preserve"> perspective on reorganisation based on their experiences at Herefordshire and Wiltshire respectively. At an officer level we provided advice on the timetable for recruiting a new top management team; advised on the design of senior management roles and competencies; and, finally on the appropriate salary for the chief executive and directors at both Councils. This enabled both local authorities to go to the external market and recruit high quality candidates through a process of open competition</w:t>
      </w:r>
    </w:p>
    <w:p w14:paraId="7CA1A364" w14:textId="77777777" w:rsidR="00475A20" w:rsidRDefault="00475A20" w:rsidP="008F5717"/>
    <w:p w14:paraId="7CA1A365" w14:textId="77777777" w:rsidR="00475A20" w:rsidRDefault="00E5500F" w:rsidP="00475A20">
      <w:pPr>
        <w:rPr>
          <w:b/>
        </w:rPr>
      </w:pPr>
      <w:r>
        <w:rPr>
          <w:b/>
        </w:rPr>
        <w:t>Social W</w:t>
      </w:r>
      <w:r w:rsidR="00475A20" w:rsidRPr="0066716C">
        <w:rPr>
          <w:b/>
        </w:rPr>
        <w:t xml:space="preserve">ork </w:t>
      </w:r>
      <w:r>
        <w:rPr>
          <w:b/>
        </w:rPr>
        <w:t>H</w:t>
      </w:r>
      <w:r w:rsidR="00475A20" w:rsidRPr="0066716C">
        <w:rPr>
          <w:b/>
        </w:rPr>
        <w:t xml:space="preserve">ealth </w:t>
      </w:r>
      <w:r>
        <w:rPr>
          <w:b/>
        </w:rPr>
        <w:t>C</w:t>
      </w:r>
      <w:r w:rsidR="00475A20" w:rsidRPr="0066716C">
        <w:rPr>
          <w:b/>
        </w:rPr>
        <w:t>heck</w:t>
      </w:r>
    </w:p>
    <w:p w14:paraId="7CA1A366" w14:textId="77777777" w:rsidR="00E5500F" w:rsidRPr="0066716C" w:rsidRDefault="00E5500F" w:rsidP="00475A20">
      <w:pPr>
        <w:rPr>
          <w:b/>
        </w:rPr>
      </w:pPr>
    </w:p>
    <w:p w14:paraId="7CA1A367" w14:textId="77777777" w:rsidR="00475A20" w:rsidRDefault="00475A20" w:rsidP="00E5500F">
      <w:pPr>
        <w:pStyle w:val="ListParagraph"/>
        <w:numPr>
          <w:ilvl w:val="0"/>
          <w:numId w:val="2"/>
        </w:numPr>
        <w:ind w:left="426" w:hanging="426"/>
      </w:pPr>
      <w:r w:rsidRPr="0066716C">
        <w:t>The social work health check tool is a key element of the Standards for Employers of social workers and it should be completed annually to enable employers to assess whether the practice conditions and working environment of the social work workforce are safe, effective, caring, responsive and well-led. The new online version of the Health Check will be going out to Adult Services this month and to Children Services in December and results will be analysed by the LGA Research Team and Workforce.</w:t>
      </w:r>
    </w:p>
    <w:p w14:paraId="7CA1A368" w14:textId="77777777" w:rsidR="007E2002" w:rsidRDefault="007E2002" w:rsidP="00475A20"/>
    <w:p w14:paraId="7CA1A369" w14:textId="77777777" w:rsidR="007E2002" w:rsidRDefault="007E2002" w:rsidP="00475A20">
      <w:pPr>
        <w:rPr>
          <w:b/>
        </w:rPr>
      </w:pPr>
      <w:r w:rsidRPr="007E2002">
        <w:rPr>
          <w:b/>
        </w:rPr>
        <w:t>Census of Chief Executives and Chief Officers</w:t>
      </w:r>
    </w:p>
    <w:p w14:paraId="7CA1A36A" w14:textId="77777777" w:rsidR="00E5500F" w:rsidRPr="007E2002" w:rsidRDefault="00E5500F" w:rsidP="00475A20">
      <w:pPr>
        <w:rPr>
          <w:b/>
        </w:rPr>
      </w:pPr>
    </w:p>
    <w:p w14:paraId="7CA1A36B" w14:textId="77777777" w:rsidR="009A513F" w:rsidRPr="009A513F" w:rsidRDefault="009A513F" w:rsidP="009A513F">
      <w:pPr>
        <w:pStyle w:val="ListParagraph"/>
        <w:numPr>
          <w:ilvl w:val="0"/>
          <w:numId w:val="2"/>
        </w:numPr>
        <w:ind w:left="426" w:hanging="426"/>
        <w:rPr>
          <w:lang w:val="en-US"/>
        </w:rPr>
      </w:pPr>
      <w:r w:rsidRPr="009A513F">
        <w:rPr>
          <w:lang w:val="en-US"/>
        </w:rPr>
        <w:t>We have just completed fieldwork the census of chief executives and chief officers. Based on a healthy return of 43</w:t>
      </w:r>
      <w:r>
        <w:rPr>
          <w:lang w:val="en-US"/>
        </w:rPr>
        <w:t xml:space="preserve"> per cent</w:t>
      </w:r>
      <w:r w:rsidRPr="009A513F">
        <w:rPr>
          <w:lang w:val="en-US"/>
        </w:rPr>
        <w:t xml:space="preserve">, the headline findings are </w:t>
      </w:r>
      <w:r>
        <w:rPr>
          <w:lang w:val="en-US"/>
        </w:rPr>
        <w:t xml:space="preserve">below. </w:t>
      </w:r>
    </w:p>
    <w:p w14:paraId="7CA1A36C" w14:textId="77777777" w:rsidR="009A513F" w:rsidRPr="009A513F" w:rsidRDefault="009A513F" w:rsidP="009A513F">
      <w:pPr>
        <w:ind w:left="426" w:hanging="426"/>
        <w:rPr>
          <w:lang w:val="en-US"/>
        </w:rPr>
      </w:pPr>
    </w:p>
    <w:p w14:paraId="7CA1A36D" w14:textId="77777777" w:rsidR="009A513F" w:rsidRDefault="009A513F" w:rsidP="009A513F">
      <w:pPr>
        <w:pStyle w:val="ListParagraph"/>
        <w:numPr>
          <w:ilvl w:val="0"/>
          <w:numId w:val="2"/>
        </w:numPr>
        <w:ind w:left="426" w:hanging="426"/>
        <w:rPr>
          <w:lang w:val="en-US"/>
        </w:rPr>
      </w:pPr>
      <w:r w:rsidRPr="009A513F">
        <w:rPr>
          <w:lang w:val="en-US"/>
        </w:rPr>
        <w:t>The cadre of senior officers is largely white and in their 50s. The gender split is much more even then the wider workforce which is roughly three-quarters female. The majority work full-time and are members of the pension scheme</w:t>
      </w:r>
      <w:r>
        <w:rPr>
          <w:lang w:val="en-US"/>
        </w:rPr>
        <w:t>.</w:t>
      </w:r>
    </w:p>
    <w:p w14:paraId="66F20B85" w14:textId="77777777" w:rsidR="00E37CF7" w:rsidRPr="00E37CF7" w:rsidRDefault="00E37CF7" w:rsidP="00E37CF7">
      <w:pPr>
        <w:pStyle w:val="ListParagraph"/>
        <w:rPr>
          <w:lang w:val="en-US"/>
        </w:rPr>
      </w:pPr>
    </w:p>
    <w:p w14:paraId="3AA855D8" w14:textId="1E310C71" w:rsidR="00E37CF7" w:rsidRPr="009A513F" w:rsidRDefault="00E37CF7" w:rsidP="009A513F">
      <w:pPr>
        <w:pStyle w:val="ListParagraph"/>
        <w:numPr>
          <w:ilvl w:val="0"/>
          <w:numId w:val="2"/>
        </w:numPr>
        <w:ind w:left="426" w:hanging="426"/>
        <w:rPr>
          <w:lang w:val="en-US"/>
        </w:rPr>
      </w:pPr>
      <w:r>
        <w:t>A full report will be prepared in due course.</w:t>
      </w:r>
    </w:p>
    <w:p w14:paraId="7CA1A36E" w14:textId="77777777" w:rsidR="009A513F" w:rsidRDefault="009A513F" w:rsidP="009A513F">
      <w:pPr>
        <w:rPr>
          <w:b/>
          <w:bCs/>
          <w:sz w:val="20"/>
          <w:szCs w:val="20"/>
          <w:lang w:val="en-US"/>
        </w:rPr>
      </w:pPr>
    </w:p>
    <w:p w14:paraId="7CA1A36F" w14:textId="77777777" w:rsidR="009A513F" w:rsidRDefault="009A513F" w:rsidP="009A513F">
      <w:pPr>
        <w:rPr>
          <w:b/>
          <w:bCs/>
          <w:sz w:val="20"/>
          <w:szCs w:val="20"/>
          <w:lang w:val="en-US"/>
        </w:rPr>
      </w:pPr>
    </w:p>
    <w:p w14:paraId="7CA1A370" w14:textId="77777777" w:rsidR="009A513F" w:rsidRDefault="009A513F" w:rsidP="009A513F">
      <w:pPr>
        <w:rPr>
          <w:b/>
          <w:bCs/>
          <w:sz w:val="20"/>
          <w:szCs w:val="20"/>
          <w:lang w:val="en-US"/>
        </w:rPr>
      </w:pPr>
    </w:p>
    <w:p w14:paraId="7CA1A371" w14:textId="77777777" w:rsidR="009A513F" w:rsidRDefault="009A513F" w:rsidP="009A513F">
      <w:pPr>
        <w:rPr>
          <w:b/>
          <w:bCs/>
          <w:sz w:val="20"/>
          <w:szCs w:val="20"/>
          <w:lang w:val="en-US"/>
        </w:rPr>
      </w:pPr>
    </w:p>
    <w:p w14:paraId="7CA1A372" w14:textId="77777777" w:rsidR="009A513F" w:rsidRDefault="009A513F" w:rsidP="009A513F">
      <w:pPr>
        <w:rPr>
          <w:b/>
          <w:bCs/>
          <w:sz w:val="20"/>
          <w:szCs w:val="20"/>
          <w:lang w:val="en-US"/>
        </w:rPr>
      </w:pPr>
    </w:p>
    <w:p w14:paraId="7CA1A373" w14:textId="77777777" w:rsidR="009A513F" w:rsidRDefault="009A513F" w:rsidP="009A513F">
      <w:pPr>
        <w:rPr>
          <w:b/>
          <w:bCs/>
          <w:sz w:val="20"/>
          <w:szCs w:val="20"/>
          <w:lang w:val="en-US"/>
        </w:rPr>
      </w:pPr>
    </w:p>
    <w:p w14:paraId="7CA1A376" w14:textId="77777777" w:rsidR="009A513F" w:rsidRDefault="009A513F" w:rsidP="009A513F">
      <w:pPr>
        <w:rPr>
          <w:b/>
          <w:bCs/>
          <w:sz w:val="20"/>
          <w:szCs w:val="20"/>
          <w:lang w:val="en-US"/>
        </w:rPr>
      </w:pPr>
      <w:bookmarkStart w:id="0" w:name="_GoBack"/>
      <w:bookmarkEnd w:id="0"/>
    </w:p>
    <w:p w14:paraId="7CA1A377" w14:textId="77777777" w:rsidR="009A513F" w:rsidRDefault="009A513F" w:rsidP="009A513F">
      <w:pPr>
        <w:rPr>
          <w:b/>
          <w:bCs/>
          <w:sz w:val="20"/>
          <w:szCs w:val="20"/>
          <w:lang w:val="en-US"/>
        </w:rPr>
      </w:pPr>
      <w:r>
        <w:rPr>
          <w:b/>
          <w:bCs/>
          <w:sz w:val="20"/>
          <w:szCs w:val="20"/>
          <w:lang w:val="en-US"/>
        </w:rPr>
        <w:lastRenderedPageBreak/>
        <w:t>Ethnic O</w:t>
      </w:r>
      <w:r w:rsidRPr="009A513F">
        <w:rPr>
          <w:b/>
          <w:bCs/>
          <w:sz w:val="20"/>
          <w:szCs w:val="20"/>
          <w:lang w:val="en-US"/>
        </w:rPr>
        <w:t>rigin</w:t>
      </w:r>
    </w:p>
    <w:p w14:paraId="7CA1A378" w14:textId="77777777" w:rsidR="009A513F" w:rsidRPr="009A513F" w:rsidRDefault="009A513F" w:rsidP="009A513F">
      <w:pPr>
        <w:rPr>
          <w:b/>
          <w:bCs/>
          <w:sz w:val="20"/>
          <w:szCs w:val="20"/>
          <w:bdr w:val="none" w:sz="0" w:space="0" w:color="auto" w:frame="1"/>
        </w:rPr>
      </w:pPr>
    </w:p>
    <w:tbl>
      <w:tblPr>
        <w:tblW w:w="3536" w:type="dxa"/>
        <w:tblCellMar>
          <w:left w:w="0" w:type="dxa"/>
          <w:right w:w="0" w:type="dxa"/>
        </w:tblCellMar>
        <w:tblLook w:val="04A0" w:firstRow="1" w:lastRow="0" w:firstColumn="1" w:lastColumn="0" w:noHBand="0" w:noVBand="1"/>
      </w:tblPr>
      <w:tblGrid>
        <w:gridCol w:w="2119"/>
        <w:gridCol w:w="1417"/>
      </w:tblGrid>
      <w:tr w:rsidR="009A513F" w14:paraId="7CA1A37B" w14:textId="77777777" w:rsidTr="009A513F">
        <w:trPr>
          <w:trHeight w:val="300"/>
        </w:trPr>
        <w:tc>
          <w:tcPr>
            <w:tcW w:w="211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79"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White</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A1A37A" w14:textId="77777777" w:rsidR="009A513F" w:rsidRDefault="009A513F">
            <w:pPr>
              <w:spacing w:line="252" w:lineRule="auto"/>
              <w:jc w:val="right"/>
              <w:rPr>
                <w:color w:val="000000"/>
                <w:sz w:val="20"/>
                <w:szCs w:val="20"/>
                <w:lang w:val="en-US" w:eastAsia="en-GB"/>
              </w:rPr>
            </w:pPr>
            <w:r>
              <w:rPr>
                <w:color w:val="000000"/>
                <w:sz w:val="20"/>
                <w:szCs w:val="20"/>
                <w:lang w:val="en-US" w:eastAsia="en-GB"/>
              </w:rPr>
              <w:t>82.4%</w:t>
            </w:r>
          </w:p>
        </w:tc>
      </w:tr>
      <w:tr w:rsidR="009A513F" w14:paraId="7CA1A37E" w14:textId="77777777" w:rsidTr="009A513F">
        <w:trPr>
          <w:trHeight w:val="300"/>
        </w:trPr>
        <w:tc>
          <w:tcPr>
            <w:tcW w:w="21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7C"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Asian</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7D" w14:textId="77777777" w:rsidR="009A513F" w:rsidRDefault="009A513F">
            <w:pPr>
              <w:spacing w:line="252" w:lineRule="auto"/>
              <w:jc w:val="right"/>
              <w:rPr>
                <w:color w:val="000000"/>
                <w:sz w:val="20"/>
                <w:szCs w:val="20"/>
                <w:lang w:val="en-US" w:eastAsia="en-GB"/>
              </w:rPr>
            </w:pPr>
            <w:r>
              <w:rPr>
                <w:color w:val="000000"/>
                <w:sz w:val="20"/>
                <w:szCs w:val="20"/>
                <w:lang w:val="en-US" w:eastAsia="en-GB"/>
              </w:rPr>
              <w:t>2.5%</w:t>
            </w:r>
          </w:p>
        </w:tc>
      </w:tr>
      <w:tr w:rsidR="009A513F" w14:paraId="7CA1A381" w14:textId="77777777" w:rsidTr="009A513F">
        <w:trPr>
          <w:trHeight w:val="300"/>
        </w:trPr>
        <w:tc>
          <w:tcPr>
            <w:tcW w:w="21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7F"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Black</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80" w14:textId="77777777" w:rsidR="009A513F" w:rsidRDefault="009A513F">
            <w:pPr>
              <w:spacing w:line="252" w:lineRule="auto"/>
              <w:jc w:val="right"/>
              <w:rPr>
                <w:color w:val="000000"/>
                <w:sz w:val="20"/>
                <w:szCs w:val="20"/>
                <w:lang w:val="en-US" w:eastAsia="en-GB"/>
              </w:rPr>
            </w:pPr>
            <w:r>
              <w:rPr>
                <w:color w:val="000000"/>
                <w:sz w:val="20"/>
                <w:szCs w:val="20"/>
                <w:lang w:val="en-US" w:eastAsia="en-GB"/>
              </w:rPr>
              <w:t>2.3%</w:t>
            </w:r>
          </w:p>
        </w:tc>
      </w:tr>
      <w:tr w:rsidR="009A513F" w14:paraId="7CA1A384" w14:textId="77777777" w:rsidTr="009A513F">
        <w:trPr>
          <w:trHeight w:val="300"/>
        </w:trPr>
        <w:tc>
          <w:tcPr>
            <w:tcW w:w="21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82"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Mixed</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83" w14:textId="77777777" w:rsidR="009A513F" w:rsidRDefault="009A513F">
            <w:pPr>
              <w:spacing w:line="252" w:lineRule="auto"/>
              <w:jc w:val="right"/>
              <w:rPr>
                <w:color w:val="000000"/>
                <w:sz w:val="20"/>
                <w:szCs w:val="20"/>
                <w:lang w:val="en-US" w:eastAsia="en-GB"/>
              </w:rPr>
            </w:pPr>
            <w:r>
              <w:rPr>
                <w:color w:val="000000"/>
                <w:sz w:val="20"/>
                <w:szCs w:val="20"/>
                <w:lang w:val="en-US" w:eastAsia="en-GB"/>
              </w:rPr>
              <w:t>1.0%</w:t>
            </w:r>
          </w:p>
        </w:tc>
      </w:tr>
      <w:tr w:rsidR="009A513F" w14:paraId="7CA1A387" w14:textId="77777777" w:rsidTr="009A513F">
        <w:trPr>
          <w:trHeight w:val="300"/>
        </w:trPr>
        <w:tc>
          <w:tcPr>
            <w:tcW w:w="21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85"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Not available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86" w14:textId="77777777" w:rsidR="009A513F" w:rsidRDefault="009A513F">
            <w:pPr>
              <w:spacing w:line="252" w:lineRule="auto"/>
              <w:jc w:val="right"/>
              <w:rPr>
                <w:color w:val="000000"/>
                <w:sz w:val="20"/>
                <w:szCs w:val="20"/>
                <w:lang w:val="en-US" w:eastAsia="en-GB"/>
              </w:rPr>
            </w:pPr>
            <w:r>
              <w:rPr>
                <w:color w:val="000000"/>
                <w:sz w:val="20"/>
                <w:szCs w:val="20"/>
                <w:lang w:val="en-US" w:eastAsia="en-GB"/>
              </w:rPr>
              <w:t>11.8%</w:t>
            </w:r>
          </w:p>
        </w:tc>
      </w:tr>
      <w:tr w:rsidR="009A513F" w14:paraId="7CA1A38A" w14:textId="77777777" w:rsidTr="009A513F">
        <w:trPr>
          <w:trHeight w:val="300"/>
        </w:trPr>
        <w:tc>
          <w:tcPr>
            <w:tcW w:w="21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88" w14:textId="77777777" w:rsidR="009A513F" w:rsidRDefault="009A513F">
            <w:pPr>
              <w:spacing w:line="252" w:lineRule="auto"/>
              <w:rPr>
                <w:b/>
                <w:bCs/>
                <w:i/>
                <w:iCs/>
                <w:color w:val="000000"/>
                <w:sz w:val="20"/>
                <w:szCs w:val="20"/>
                <w:lang w:val="en-US" w:eastAsia="en-GB"/>
              </w:rPr>
            </w:pPr>
            <w:r>
              <w:rPr>
                <w:b/>
                <w:bCs/>
                <w:i/>
                <w:iCs/>
                <w:color w:val="000000"/>
                <w:sz w:val="20"/>
                <w:szCs w:val="20"/>
                <w:lang w:val="en-US" w:eastAsia="en-GB"/>
              </w:rPr>
              <w:t>Base</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89" w14:textId="77777777" w:rsidR="009A513F" w:rsidRDefault="009A513F">
            <w:pPr>
              <w:spacing w:line="252" w:lineRule="auto"/>
              <w:jc w:val="right"/>
              <w:rPr>
                <w:i/>
                <w:iCs/>
                <w:color w:val="000000"/>
                <w:sz w:val="20"/>
                <w:szCs w:val="20"/>
                <w:lang w:val="en-US" w:eastAsia="en-GB"/>
              </w:rPr>
            </w:pPr>
            <w:r>
              <w:rPr>
                <w:i/>
                <w:iCs/>
                <w:color w:val="000000"/>
                <w:sz w:val="20"/>
                <w:szCs w:val="20"/>
                <w:lang w:val="en-US" w:eastAsia="en-GB"/>
              </w:rPr>
              <w:t>2977</w:t>
            </w:r>
          </w:p>
        </w:tc>
      </w:tr>
    </w:tbl>
    <w:p w14:paraId="7CA1A38B" w14:textId="77777777" w:rsidR="009A513F" w:rsidRPr="009A513F" w:rsidRDefault="009A513F" w:rsidP="009A513F">
      <w:pPr>
        <w:rPr>
          <w:sz w:val="20"/>
          <w:szCs w:val="20"/>
          <w:lang w:val="en-US"/>
        </w:rPr>
      </w:pPr>
    </w:p>
    <w:p w14:paraId="7CA1A38C" w14:textId="77777777" w:rsidR="009A513F" w:rsidRDefault="009A513F" w:rsidP="009A513F">
      <w:pPr>
        <w:rPr>
          <w:b/>
          <w:bCs/>
          <w:sz w:val="20"/>
          <w:szCs w:val="20"/>
          <w:lang w:val="en-US"/>
        </w:rPr>
      </w:pPr>
    </w:p>
    <w:p w14:paraId="7CA1A38D" w14:textId="77777777" w:rsidR="009A513F" w:rsidRDefault="009A513F" w:rsidP="009A513F">
      <w:pPr>
        <w:rPr>
          <w:b/>
          <w:bCs/>
          <w:sz w:val="20"/>
          <w:szCs w:val="20"/>
          <w:lang w:val="en-US"/>
        </w:rPr>
      </w:pPr>
      <w:r w:rsidRPr="009A513F">
        <w:rPr>
          <w:b/>
          <w:bCs/>
          <w:sz w:val="20"/>
          <w:szCs w:val="20"/>
          <w:lang w:val="en-US"/>
        </w:rPr>
        <w:t>Age</w:t>
      </w:r>
    </w:p>
    <w:p w14:paraId="7CA1A38E" w14:textId="77777777" w:rsidR="009A513F" w:rsidRPr="009A513F" w:rsidRDefault="009A513F" w:rsidP="009A513F">
      <w:pPr>
        <w:rPr>
          <w:b/>
          <w:bCs/>
          <w:sz w:val="20"/>
          <w:szCs w:val="20"/>
          <w:lang w:val="en-US"/>
        </w:rPr>
      </w:pPr>
    </w:p>
    <w:tbl>
      <w:tblPr>
        <w:tblW w:w="2840" w:type="dxa"/>
        <w:tblCellMar>
          <w:left w:w="0" w:type="dxa"/>
          <w:right w:w="0" w:type="dxa"/>
        </w:tblCellMar>
        <w:tblLook w:val="04A0" w:firstRow="1" w:lastRow="0" w:firstColumn="1" w:lastColumn="0" w:noHBand="0" w:noVBand="1"/>
      </w:tblPr>
      <w:tblGrid>
        <w:gridCol w:w="1420"/>
        <w:gridCol w:w="1420"/>
      </w:tblGrid>
      <w:tr w:rsidR="009A513F" w14:paraId="7CA1A391" w14:textId="77777777" w:rsidTr="009A513F">
        <w:trPr>
          <w:trHeight w:val="300"/>
        </w:trPr>
        <w:tc>
          <w:tcPr>
            <w:tcW w:w="1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8F"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Mean</w:t>
            </w:r>
          </w:p>
        </w:tc>
        <w:tc>
          <w:tcPr>
            <w:tcW w:w="1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A1A390" w14:textId="77777777" w:rsidR="009A513F" w:rsidRDefault="009A513F">
            <w:pPr>
              <w:spacing w:line="252" w:lineRule="auto"/>
              <w:jc w:val="right"/>
              <w:rPr>
                <w:color w:val="000000"/>
                <w:sz w:val="20"/>
                <w:szCs w:val="20"/>
                <w:lang w:val="en-US" w:eastAsia="en-GB"/>
              </w:rPr>
            </w:pPr>
            <w:r>
              <w:rPr>
                <w:color w:val="000000"/>
                <w:sz w:val="20"/>
                <w:szCs w:val="20"/>
                <w:lang w:val="en-US" w:eastAsia="en-GB"/>
              </w:rPr>
              <w:t>50.6</w:t>
            </w:r>
          </w:p>
        </w:tc>
      </w:tr>
      <w:tr w:rsidR="009A513F" w14:paraId="7CA1A394" w14:textId="77777777" w:rsidTr="009A513F">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92"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Median</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93" w14:textId="77777777" w:rsidR="009A513F" w:rsidRDefault="009A513F">
            <w:pPr>
              <w:spacing w:line="252" w:lineRule="auto"/>
              <w:jc w:val="right"/>
              <w:rPr>
                <w:color w:val="000000"/>
                <w:sz w:val="20"/>
                <w:szCs w:val="20"/>
                <w:lang w:val="en-US" w:eastAsia="en-GB"/>
              </w:rPr>
            </w:pPr>
            <w:r>
              <w:rPr>
                <w:color w:val="000000"/>
                <w:sz w:val="20"/>
                <w:szCs w:val="20"/>
                <w:lang w:val="en-US" w:eastAsia="en-GB"/>
              </w:rPr>
              <w:t>51.6</w:t>
            </w:r>
          </w:p>
        </w:tc>
      </w:tr>
      <w:tr w:rsidR="009A513F" w14:paraId="7CA1A397" w14:textId="77777777" w:rsidTr="009A513F">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95"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Minimum</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96" w14:textId="77777777" w:rsidR="009A513F" w:rsidRDefault="009A513F">
            <w:pPr>
              <w:spacing w:line="252" w:lineRule="auto"/>
              <w:jc w:val="right"/>
              <w:rPr>
                <w:color w:val="000000"/>
                <w:sz w:val="20"/>
                <w:szCs w:val="20"/>
                <w:lang w:val="en-US" w:eastAsia="en-GB"/>
              </w:rPr>
            </w:pPr>
            <w:r>
              <w:rPr>
                <w:color w:val="000000"/>
                <w:sz w:val="20"/>
                <w:szCs w:val="20"/>
                <w:lang w:val="en-US" w:eastAsia="en-GB"/>
              </w:rPr>
              <w:t>27</w:t>
            </w:r>
          </w:p>
        </w:tc>
      </w:tr>
      <w:tr w:rsidR="009A513F" w14:paraId="7CA1A39A" w14:textId="77777777" w:rsidTr="009A513F">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98"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Maximum</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99" w14:textId="77777777" w:rsidR="009A513F" w:rsidRDefault="009A513F">
            <w:pPr>
              <w:spacing w:line="252" w:lineRule="auto"/>
              <w:jc w:val="right"/>
              <w:rPr>
                <w:color w:val="000000"/>
                <w:sz w:val="20"/>
                <w:szCs w:val="20"/>
                <w:lang w:val="en-US" w:eastAsia="en-GB"/>
              </w:rPr>
            </w:pPr>
            <w:r>
              <w:rPr>
                <w:color w:val="000000"/>
                <w:sz w:val="20"/>
                <w:szCs w:val="20"/>
                <w:lang w:val="en-US" w:eastAsia="en-GB"/>
              </w:rPr>
              <w:t>71</w:t>
            </w:r>
          </w:p>
        </w:tc>
      </w:tr>
      <w:tr w:rsidR="009A513F" w14:paraId="7CA1A39D" w14:textId="77777777" w:rsidTr="009A513F">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9B" w14:textId="77777777" w:rsidR="009A513F" w:rsidRDefault="009A513F">
            <w:pPr>
              <w:spacing w:line="252" w:lineRule="auto"/>
              <w:rPr>
                <w:b/>
                <w:bCs/>
                <w:i/>
                <w:iCs/>
                <w:color w:val="000000"/>
                <w:sz w:val="20"/>
                <w:szCs w:val="20"/>
                <w:lang w:val="en-US" w:eastAsia="en-GB"/>
              </w:rPr>
            </w:pPr>
            <w:r>
              <w:rPr>
                <w:b/>
                <w:bCs/>
                <w:i/>
                <w:iCs/>
                <w:color w:val="000000"/>
                <w:sz w:val="20"/>
                <w:szCs w:val="20"/>
                <w:lang w:val="en-US" w:eastAsia="en-GB"/>
              </w:rPr>
              <w:t>Base</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9C" w14:textId="77777777" w:rsidR="009A513F" w:rsidRDefault="009A513F">
            <w:pPr>
              <w:spacing w:line="252" w:lineRule="auto"/>
              <w:jc w:val="right"/>
              <w:rPr>
                <w:i/>
                <w:iCs/>
                <w:color w:val="000000"/>
                <w:sz w:val="20"/>
                <w:szCs w:val="20"/>
                <w:lang w:val="en-US" w:eastAsia="en-GB"/>
              </w:rPr>
            </w:pPr>
            <w:r>
              <w:rPr>
                <w:i/>
                <w:iCs/>
                <w:color w:val="000000"/>
                <w:sz w:val="20"/>
                <w:szCs w:val="20"/>
                <w:lang w:val="en-US" w:eastAsia="en-GB"/>
              </w:rPr>
              <w:t>2908</w:t>
            </w:r>
          </w:p>
        </w:tc>
      </w:tr>
    </w:tbl>
    <w:p w14:paraId="7CA1A39E" w14:textId="77777777" w:rsidR="009A513F" w:rsidRPr="009A513F" w:rsidRDefault="009A513F" w:rsidP="009A513F">
      <w:pPr>
        <w:rPr>
          <w:b/>
          <w:bCs/>
          <w:sz w:val="20"/>
          <w:szCs w:val="20"/>
          <w:lang w:val="en-US"/>
        </w:rPr>
      </w:pPr>
    </w:p>
    <w:p w14:paraId="7CA1A39F" w14:textId="77777777" w:rsidR="009A513F" w:rsidRPr="009A513F" w:rsidRDefault="009A513F" w:rsidP="009A513F">
      <w:pPr>
        <w:ind w:left="360"/>
        <w:rPr>
          <w:b/>
          <w:bCs/>
          <w:sz w:val="20"/>
          <w:szCs w:val="20"/>
          <w:lang w:val="en-US"/>
        </w:rPr>
      </w:pPr>
    </w:p>
    <w:p w14:paraId="7CA1A3A0" w14:textId="77777777" w:rsidR="009A513F" w:rsidRDefault="009A513F" w:rsidP="009A513F">
      <w:pPr>
        <w:rPr>
          <w:b/>
          <w:bCs/>
          <w:sz w:val="20"/>
          <w:szCs w:val="20"/>
          <w:lang w:val="en-US"/>
        </w:rPr>
      </w:pPr>
      <w:r w:rsidRPr="009A513F">
        <w:rPr>
          <w:b/>
          <w:bCs/>
          <w:sz w:val="20"/>
          <w:szCs w:val="20"/>
          <w:lang w:val="en-US"/>
        </w:rPr>
        <w:t>Gender</w:t>
      </w:r>
    </w:p>
    <w:p w14:paraId="7CA1A3A1" w14:textId="77777777" w:rsidR="009A513F" w:rsidRPr="009A513F" w:rsidRDefault="009A513F" w:rsidP="009A513F">
      <w:pPr>
        <w:rPr>
          <w:b/>
          <w:bCs/>
          <w:sz w:val="20"/>
          <w:szCs w:val="20"/>
          <w:lang w:val="en-US"/>
        </w:rPr>
      </w:pPr>
    </w:p>
    <w:tbl>
      <w:tblPr>
        <w:tblW w:w="3678" w:type="dxa"/>
        <w:tblCellMar>
          <w:left w:w="0" w:type="dxa"/>
          <w:right w:w="0" w:type="dxa"/>
        </w:tblCellMar>
        <w:tblLook w:val="04A0" w:firstRow="1" w:lastRow="0" w:firstColumn="1" w:lastColumn="0" w:noHBand="0" w:noVBand="1"/>
      </w:tblPr>
      <w:tblGrid>
        <w:gridCol w:w="2544"/>
        <w:gridCol w:w="1134"/>
      </w:tblGrid>
      <w:tr w:rsidR="009A513F" w14:paraId="7CA1A3A4" w14:textId="77777777" w:rsidTr="009A513F">
        <w:trPr>
          <w:trHeight w:val="300"/>
        </w:trPr>
        <w:tc>
          <w:tcPr>
            <w:tcW w:w="25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A2"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Male</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A1A3A3" w14:textId="77777777" w:rsidR="009A513F" w:rsidRDefault="009A513F">
            <w:pPr>
              <w:spacing w:line="252" w:lineRule="auto"/>
              <w:jc w:val="right"/>
              <w:rPr>
                <w:color w:val="000000"/>
                <w:sz w:val="20"/>
                <w:szCs w:val="20"/>
                <w:lang w:val="en-US" w:eastAsia="en-GB"/>
              </w:rPr>
            </w:pPr>
            <w:r>
              <w:rPr>
                <w:color w:val="000000"/>
                <w:sz w:val="20"/>
                <w:szCs w:val="20"/>
                <w:lang w:val="en-US" w:eastAsia="en-GB"/>
              </w:rPr>
              <w:t>52.7%</w:t>
            </w:r>
          </w:p>
        </w:tc>
      </w:tr>
      <w:tr w:rsidR="009A513F" w14:paraId="7CA1A3A7" w14:textId="77777777" w:rsidTr="009A513F">
        <w:trPr>
          <w:trHeight w:val="300"/>
        </w:trPr>
        <w:tc>
          <w:tcPr>
            <w:tcW w:w="2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A5"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Female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A6" w14:textId="77777777" w:rsidR="009A513F" w:rsidRDefault="009A513F">
            <w:pPr>
              <w:spacing w:line="252" w:lineRule="auto"/>
              <w:jc w:val="right"/>
              <w:rPr>
                <w:color w:val="000000"/>
                <w:sz w:val="20"/>
                <w:szCs w:val="20"/>
                <w:lang w:val="en-US" w:eastAsia="en-GB"/>
              </w:rPr>
            </w:pPr>
            <w:r>
              <w:rPr>
                <w:color w:val="000000"/>
                <w:sz w:val="20"/>
                <w:szCs w:val="20"/>
                <w:lang w:val="en-US" w:eastAsia="en-GB"/>
              </w:rPr>
              <w:t>46.8%</w:t>
            </w:r>
          </w:p>
        </w:tc>
      </w:tr>
      <w:tr w:rsidR="009A513F" w14:paraId="7CA1A3AA" w14:textId="77777777" w:rsidTr="009A513F">
        <w:trPr>
          <w:trHeight w:val="300"/>
        </w:trPr>
        <w:tc>
          <w:tcPr>
            <w:tcW w:w="2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A8"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No information</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A9" w14:textId="77777777" w:rsidR="009A513F" w:rsidRDefault="009A513F">
            <w:pPr>
              <w:spacing w:line="252" w:lineRule="auto"/>
              <w:jc w:val="right"/>
              <w:rPr>
                <w:color w:val="000000"/>
                <w:sz w:val="20"/>
                <w:szCs w:val="20"/>
                <w:lang w:val="en-US" w:eastAsia="en-GB"/>
              </w:rPr>
            </w:pPr>
            <w:r>
              <w:rPr>
                <w:color w:val="000000"/>
                <w:sz w:val="20"/>
                <w:szCs w:val="20"/>
                <w:lang w:val="en-US" w:eastAsia="en-GB"/>
              </w:rPr>
              <w:t>0.2%</w:t>
            </w:r>
          </w:p>
        </w:tc>
      </w:tr>
      <w:tr w:rsidR="009A513F" w14:paraId="7CA1A3AD" w14:textId="77777777" w:rsidTr="009A513F">
        <w:trPr>
          <w:trHeight w:val="300"/>
        </w:trPr>
        <w:tc>
          <w:tcPr>
            <w:tcW w:w="2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AB" w14:textId="77777777" w:rsidR="009A513F" w:rsidRDefault="009A513F">
            <w:pPr>
              <w:spacing w:line="252" w:lineRule="auto"/>
              <w:rPr>
                <w:b/>
                <w:bCs/>
                <w:color w:val="000000"/>
                <w:sz w:val="20"/>
                <w:szCs w:val="20"/>
                <w:lang w:val="en-US" w:eastAsia="en-GB"/>
              </w:rPr>
            </w:pPr>
            <w:r>
              <w:rPr>
                <w:b/>
                <w:bCs/>
                <w:color w:val="000000"/>
                <w:sz w:val="20"/>
                <w:szCs w:val="20"/>
                <w:lang w:val="en-US" w:eastAsia="en-GB"/>
              </w:rPr>
              <w:t>Prefers not to say</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AC" w14:textId="77777777" w:rsidR="009A513F" w:rsidRDefault="009A513F">
            <w:pPr>
              <w:spacing w:line="252" w:lineRule="auto"/>
              <w:jc w:val="right"/>
              <w:rPr>
                <w:color w:val="000000"/>
                <w:sz w:val="20"/>
                <w:szCs w:val="20"/>
                <w:lang w:val="en-US" w:eastAsia="en-GB"/>
              </w:rPr>
            </w:pPr>
            <w:r>
              <w:rPr>
                <w:color w:val="000000"/>
                <w:sz w:val="20"/>
                <w:szCs w:val="20"/>
                <w:lang w:val="en-US" w:eastAsia="en-GB"/>
              </w:rPr>
              <w:t>0.3%</w:t>
            </w:r>
          </w:p>
        </w:tc>
      </w:tr>
      <w:tr w:rsidR="009A513F" w14:paraId="7CA1A3B0" w14:textId="77777777" w:rsidTr="009A513F">
        <w:trPr>
          <w:trHeight w:val="300"/>
        </w:trPr>
        <w:tc>
          <w:tcPr>
            <w:tcW w:w="25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AE" w14:textId="77777777" w:rsidR="009A513F" w:rsidRDefault="009A513F">
            <w:pPr>
              <w:spacing w:line="252" w:lineRule="auto"/>
              <w:rPr>
                <w:b/>
                <w:bCs/>
                <w:i/>
                <w:iCs/>
                <w:color w:val="000000"/>
                <w:sz w:val="20"/>
                <w:szCs w:val="20"/>
                <w:lang w:val="en-US" w:eastAsia="en-GB"/>
              </w:rPr>
            </w:pPr>
            <w:r>
              <w:rPr>
                <w:b/>
                <w:bCs/>
                <w:i/>
                <w:iCs/>
                <w:color w:val="000000"/>
                <w:sz w:val="20"/>
                <w:szCs w:val="20"/>
                <w:lang w:val="en-US" w:eastAsia="en-GB"/>
              </w:rPr>
              <w:t>Base</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AF" w14:textId="77777777" w:rsidR="009A513F" w:rsidRDefault="009A513F">
            <w:pPr>
              <w:spacing w:line="252" w:lineRule="auto"/>
              <w:jc w:val="right"/>
              <w:rPr>
                <w:i/>
                <w:iCs/>
                <w:color w:val="000000"/>
                <w:sz w:val="20"/>
                <w:szCs w:val="20"/>
                <w:lang w:val="en-US" w:eastAsia="en-GB"/>
              </w:rPr>
            </w:pPr>
            <w:r>
              <w:rPr>
                <w:i/>
                <w:iCs/>
                <w:color w:val="000000"/>
                <w:sz w:val="20"/>
                <w:szCs w:val="20"/>
                <w:lang w:val="en-US" w:eastAsia="en-GB"/>
              </w:rPr>
              <w:t>3125</w:t>
            </w:r>
          </w:p>
        </w:tc>
      </w:tr>
    </w:tbl>
    <w:p w14:paraId="7CA1A3B1" w14:textId="77777777" w:rsidR="009A513F" w:rsidRDefault="009A513F" w:rsidP="009A513F">
      <w:pPr>
        <w:pStyle w:val="ListParagraph"/>
      </w:pPr>
    </w:p>
    <w:p w14:paraId="7CA1A3B2" w14:textId="77777777" w:rsidR="009A513F" w:rsidRDefault="009A513F" w:rsidP="009A513F">
      <w:pPr>
        <w:pStyle w:val="ListParagraph"/>
      </w:pPr>
    </w:p>
    <w:p w14:paraId="7CA1A3B3" w14:textId="77777777" w:rsidR="009A513F" w:rsidRDefault="009A513F" w:rsidP="009A513F">
      <w:pPr>
        <w:rPr>
          <w:b/>
          <w:bCs/>
          <w:lang w:val="en-US"/>
        </w:rPr>
      </w:pPr>
      <w:r w:rsidRPr="009A513F">
        <w:rPr>
          <w:b/>
          <w:bCs/>
          <w:lang w:val="en-US"/>
        </w:rPr>
        <w:t>Membership of LGPS</w:t>
      </w:r>
    </w:p>
    <w:p w14:paraId="7CA1A3B4" w14:textId="77777777" w:rsidR="009A513F" w:rsidRPr="009A513F" w:rsidRDefault="009A513F" w:rsidP="009A513F">
      <w:pPr>
        <w:rPr>
          <w:b/>
          <w:bCs/>
          <w:lang w:val="en-US"/>
        </w:rPr>
      </w:pPr>
    </w:p>
    <w:tbl>
      <w:tblPr>
        <w:tblW w:w="3211" w:type="dxa"/>
        <w:tblCellMar>
          <w:left w:w="0" w:type="dxa"/>
          <w:right w:w="0" w:type="dxa"/>
        </w:tblCellMar>
        <w:tblLook w:val="04A0" w:firstRow="1" w:lastRow="0" w:firstColumn="1" w:lastColumn="0" w:noHBand="0" w:noVBand="1"/>
      </w:tblPr>
      <w:tblGrid>
        <w:gridCol w:w="1977"/>
        <w:gridCol w:w="1234"/>
      </w:tblGrid>
      <w:tr w:rsidR="009A513F" w14:paraId="7CA1A3B7" w14:textId="77777777" w:rsidTr="009A513F">
        <w:trPr>
          <w:trHeight w:val="300"/>
        </w:trPr>
        <w:tc>
          <w:tcPr>
            <w:tcW w:w="197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B5" w14:textId="77777777" w:rsidR="009A513F" w:rsidRDefault="009A513F">
            <w:pPr>
              <w:rPr>
                <w:b/>
                <w:bCs/>
                <w:color w:val="000000"/>
                <w:lang w:val="en-US" w:eastAsia="en-GB"/>
              </w:rPr>
            </w:pPr>
            <w:r>
              <w:rPr>
                <w:b/>
                <w:bCs/>
                <w:color w:val="000000"/>
                <w:lang w:val="en-US" w:eastAsia="en-GB"/>
              </w:rPr>
              <w:t>In full scheme</w:t>
            </w:r>
          </w:p>
        </w:tc>
        <w:tc>
          <w:tcPr>
            <w:tcW w:w="12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A1A3B6" w14:textId="77777777" w:rsidR="009A513F" w:rsidRDefault="009A513F">
            <w:pPr>
              <w:jc w:val="right"/>
              <w:rPr>
                <w:color w:val="000000"/>
                <w:lang w:val="en-US"/>
              </w:rPr>
            </w:pPr>
            <w:r>
              <w:rPr>
                <w:color w:val="000000"/>
                <w:lang w:val="en-US"/>
              </w:rPr>
              <w:t>92.8%</w:t>
            </w:r>
          </w:p>
        </w:tc>
      </w:tr>
      <w:tr w:rsidR="009A513F" w14:paraId="7CA1A3BA" w14:textId="77777777" w:rsidTr="009A513F">
        <w:trPr>
          <w:trHeight w:val="300"/>
        </w:trPr>
        <w:tc>
          <w:tcPr>
            <w:tcW w:w="1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B8" w14:textId="77777777" w:rsidR="009A513F" w:rsidRDefault="009A513F">
            <w:pPr>
              <w:rPr>
                <w:b/>
                <w:bCs/>
                <w:color w:val="000000"/>
                <w:lang w:val="en-US" w:eastAsia="en-GB"/>
              </w:rPr>
            </w:pPr>
            <w:r>
              <w:rPr>
                <w:b/>
                <w:bCs/>
                <w:color w:val="000000"/>
                <w:lang w:val="en-US" w:eastAsia="en-GB"/>
              </w:rPr>
              <w:t>In 50/50 scheme</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B9" w14:textId="77777777" w:rsidR="009A513F" w:rsidRDefault="009A513F">
            <w:pPr>
              <w:jc w:val="right"/>
              <w:rPr>
                <w:color w:val="000000"/>
                <w:lang w:val="en-US"/>
              </w:rPr>
            </w:pPr>
            <w:r>
              <w:rPr>
                <w:color w:val="000000"/>
                <w:lang w:val="en-US"/>
              </w:rPr>
              <w:t>2.0%</w:t>
            </w:r>
          </w:p>
        </w:tc>
      </w:tr>
      <w:tr w:rsidR="009A513F" w14:paraId="7CA1A3BD" w14:textId="77777777" w:rsidTr="009A513F">
        <w:trPr>
          <w:trHeight w:val="300"/>
        </w:trPr>
        <w:tc>
          <w:tcPr>
            <w:tcW w:w="1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BB" w14:textId="77777777" w:rsidR="009A513F" w:rsidRDefault="009A513F">
            <w:pPr>
              <w:rPr>
                <w:b/>
                <w:bCs/>
                <w:color w:val="000000"/>
                <w:lang w:val="en-US" w:eastAsia="en-GB"/>
              </w:rPr>
            </w:pPr>
            <w:r>
              <w:rPr>
                <w:b/>
                <w:bCs/>
                <w:color w:val="000000"/>
                <w:lang w:val="en-US" w:eastAsia="en-GB"/>
              </w:rPr>
              <w:t>Not in scheme</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BC" w14:textId="77777777" w:rsidR="009A513F" w:rsidRDefault="009A513F">
            <w:pPr>
              <w:jc w:val="right"/>
              <w:rPr>
                <w:color w:val="000000"/>
                <w:lang w:val="en-US"/>
              </w:rPr>
            </w:pPr>
            <w:r>
              <w:rPr>
                <w:color w:val="000000"/>
                <w:lang w:val="en-US"/>
              </w:rPr>
              <w:t>5.3%</w:t>
            </w:r>
          </w:p>
        </w:tc>
      </w:tr>
      <w:tr w:rsidR="009A513F" w14:paraId="7CA1A3C0" w14:textId="77777777" w:rsidTr="009A513F">
        <w:trPr>
          <w:trHeight w:val="300"/>
        </w:trPr>
        <w:tc>
          <w:tcPr>
            <w:tcW w:w="19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BE" w14:textId="77777777" w:rsidR="009A513F" w:rsidRDefault="009A513F">
            <w:pPr>
              <w:rPr>
                <w:b/>
                <w:bCs/>
                <w:i/>
                <w:iCs/>
                <w:color w:val="000000"/>
                <w:lang w:val="en-US" w:eastAsia="en-GB"/>
              </w:rPr>
            </w:pPr>
            <w:r>
              <w:rPr>
                <w:b/>
                <w:bCs/>
                <w:i/>
                <w:iCs/>
                <w:color w:val="000000"/>
                <w:lang w:val="en-US" w:eastAsia="en-GB"/>
              </w:rPr>
              <w:t>Base</w:t>
            </w:r>
          </w:p>
        </w:tc>
        <w:tc>
          <w:tcPr>
            <w:tcW w:w="12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BF" w14:textId="77777777" w:rsidR="009A513F" w:rsidRDefault="009A513F">
            <w:pPr>
              <w:jc w:val="right"/>
              <w:rPr>
                <w:i/>
                <w:iCs/>
                <w:color w:val="000000"/>
                <w:lang w:val="en-US"/>
              </w:rPr>
            </w:pPr>
            <w:r>
              <w:rPr>
                <w:i/>
                <w:iCs/>
                <w:color w:val="000000"/>
                <w:lang w:val="en-US"/>
              </w:rPr>
              <w:t>3180</w:t>
            </w:r>
          </w:p>
        </w:tc>
      </w:tr>
    </w:tbl>
    <w:p w14:paraId="7CA1A3C1" w14:textId="77777777" w:rsidR="009A513F" w:rsidRPr="009A513F" w:rsidRDefault="009A513F" w:rsidP="009A513F">
      <w:pPr>
        <w:pStyle w:val="ListParagraph"/>
        <w:rPr>
          <w:b/>
          <w:bCs/>
          <w:lang w:val="en-US"/>
        </w:rPr>
      </w:pPr>
    </w:p>
    <w:p w14:paraId="7CA1A3C2" w14:textId="77777777" w:rsidR="009A513F" w:rsidRPr="009A513F" w:rsidRDefault="009A513F" w:rsidP="009A513F">
      <w:pPr>
        <w:pStyle w:val="ListParagraph"/>
        <w:rPr>
          <w:b/>
          <w:bCs/>
          <w:lang w:val="en-US"/>
        </w:rPr>
      </w:pPr>
    </w:p>
    <w:p w14:paraId="7CA1A3C3" w14:textId="77777777" w:rsidR="009A513F" w:rsidRDefault="009A513F" w:rsidP="009A513F">
      <w:pPr>
        <w:rPr>
          <w:b/>
          <w:bCs/>
          <w:lang w:val="en-US"/>
        </w:rPr>
      </w:pPr>
      <w:r w:rsidRPr="009A513F">
        <w:rPr>
          <w:b/>
          <w:bCs/>
          <w:lang w:val="en-US"/>
        </w:rPr>
        <w:t>Full time/part time</w:t>
      </w:r>
    </w:p>
    <w:p w14:paraId="7CA1A3C4" w14:textId="77777777" w:rsidR="009A513F" w:rsidRPr="009A513F" w:rsidRDefault="009A513F" w:rsidP="009A513F">
      <w:pPr>
        <w:rPr>
          <w:b/>
          <w:bCs/>
          <w:lang w:val="en-US"/>
        </w:rPr>
      </w:pPr>
    </w:p>
    <w:tbl>
      <w:tblPr>
        <w:tblW w:w="2840" w:type="dxa"/>
        <w:tblCellMar>
          <w:left w:w="0" w:type="dxa"/>
          <w:right w:w="0" w:type="dxa"/>
        </w:tblCellMar>
        <w:tblLook w:val="04A0" w:firstRow="1" w:lastRow="0" w:firstColumn="1" w:lastColumn="0" w:noHBand="0" w:noVBand="1"/>
      </w:tblPr>
      <w:tblGrid>
        <w:gridCol w:w="1420"/>
        <w:gridCol w:w="1420"/>
      </w:tblGrid>
      <w:tr w:rsidR="009A513F" w14:paraId="7CA1A3C7" w14:textId="77777777" w:rsidTr="009A513F">
        <w:trPr>
          <w:trHeight w:val="300"/>
        </w:trPr>
        <w:tc>
          <w:tcPr>
            <w:tcW w:w="14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C5" w14:textId="77777777" w:rsidR="009A513F" w:rsidRDefault="009A513F">
            <w:pPr>
              <w:rPr>
                <w:b/>
                <w:bCs/>
                <w:color w:val="000000"/>
                <w:lang w:val="en-US" w:eastAsia="en-GB"/>
              </w:rPr>
            </w:pPr>
            <w:r>
              <w:rPr>
                <w:b/>
                <w:bCs/>
                <w:color w:val="000000"/>
                <w:lang w:val="en-US" w:eastAsia="en-GB"/>
              </w:rPr>
              <w:t>Full time</w:t>
            </w:r>
          </w:p>
        </w:tc>
        <w:tc>
          <w:tcPr>
            <w:tcW w:w="14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CA1A3C6" w14:textId="77777777" w:rsidR="009A513F" w:rsidRDefault="009A513F">
            <w:pPr>
              <w:jc w:val="right"/>
              <w:rPr>
                <w:color w:val="000000"/>
                <w:lang w:val="en-US" w:eastAsia="en-GB"/>
              </w:rPr>
            </w:pPr>
            <w:r>
              <w:rPr>
                <w:color w:val="000000"/>
                <w:lang w:val="en-US" w:eastAsia="en-GB"/>
              </w:rPr>
              <w:t>94.1%</w:t>
            </w:r>
          </w:p>
        </w:tc>
      </w:tr>
      <w:tr w:rsidR="009A513F" w14:paraId="7CA1A3CA" w14:textId="77777777" w:rsidTr="009A513F">
        <w:trPr>
          <w:trHeight w:val="300"/>
        </w:trPr>
        <w:tc>
          <w:tcPr>
            <w:tcW w:w="14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1A3C8" w14:textId="77777777" w:rsidR="009A513F" w:rsidRDefault="009A513F">
            <w:pPr>
              <w:rPr>
                <w:b/>
                <w:bCs/>
                <w:color w:val="000000"/>
                <w:lang w:val="en-US" w:eastAsia="en-GB"/>
              </w:rPr>
            </w:pPr>
            <w:r>
              <w:rPr>
                <w:b/>
                <w:bCs/>
                <w:color w:val="000000"/>
                <w:lang w:val="en-US" w:eastAsia="en-GB"/>
              </w:rPr>
              <w:t>Part time</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1A3C9" w14:textId="77777777" w:rsidR="009A513F" w:rsidRDefault="009A513F">
            <w:pPr>
              <w:jc w:val="right"/>
              <w:rPr>
                <w:color w:val="000000"/>
                <w:lang w:val="en-US" w:eastAsia="en-GB"/>
              </w:rPr>
            </w:pPr>
            <w:r>
              <w:rPr>
                <w:color w:val="000000"/>
                <w:lang w:val="en-US" w:eastAsia="en-GB"/>
              </w:rPr>
              <w:t>5.9%</w:t>
            </w:r>
          </w:p>
        </w:tc>
      </w:tr>
    </w:tbl>
    <w:p w14:paraId="7CA1A3CB" w14:textId="77777777" w:rsidR="009A513F" w:rsidRDefault="009A513F" w:rsidP="009A513F"/>
    <w:p w14:paraId="7CA1A3CC" w14:textId="77777777" w:rsidR="009A513F" w:rsidRPr="0066716C" w:rsidRDefault="009A513F" w:rsidP="009A513F"/>
    <w:p w14:paraId="7CA1A3CD" w14:textId="77777777" w:rsidR="00475A20" w:rsidRPr="00891AE9" w:rsidRDefault="00475A20" w:rsidP="008F5717"/>
    <w:sectPr w:rsidR="00475A20" w:rsidRPr="00891AE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1A3D0" w14:textId="77777777" w:rsidR="00E5500F" w:rsidRDefault="00E5500F" w:rsidP="00E5500F">
      <w:r>
        <w:separator/>
      </w:r>
    </w:p>
  </w:endnote>
  <w:endnote w:type="continuationSeparator" w:id="0">
    <w:p w14:paraId="7CA1A3D1" w14:textId="77777777" w:rsidR="00E5500F" w:rsidRDefault="00E5500F" w:rsidP="00E5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45 Ligh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1A3CE" w14:textId="77777777" w:rsidR="00E5500F" w:rsidRDefault="00E5500F" w:rsidP="00E5500F">
      <w:r>
        <w:separator/>
      </w:r>
    </w:p>
  </w:footnote>
  <w:footnote w:type="continuationSeparator" w:id="0">
    <w:p w14:paraId="7CA1A3CF" w14:textId="77777777" w:rsidR="00E5500F" w:rsidRDefault="00E5500F" w:rsidP="00E55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A3D2" w14:textId="77777777" w:rsidR="00E5500F" w:rsidRDefault="00E5500F" w:rsidP="00E5500F">
    <w:pPr>
      <w:pStyle w:val="Header"/>
    </w:pPr>
  </w:p>
  <w:tbl>
    <w:tblPr>
      <w:tblW w:w="0" w:type="auto"/>
      <w:tblLook w:val="01E0" w:firstRow="1" w:lastRow="1" w:firstColumn="1" w:lastColumn="1" w:noHBand="0" w:noVBand="0"/>
    </w:tblPr>
    <w:tblGrid>
      <w:gridCol w:w="5821"/>
      <w:gridCol w:w="3205"/>
    </w:tblGrid>
    <w:tr w:rsidR="00E5500F" w:rsidRPr="004F266E" w14:paraId="7CA1A3D5" w14:textId="77777777" w:rsidTr="007C4509">
      <w:tc>
        <w:tcPr>
          <w:tcW w:w="5920" w:type="dxa"/>
          <w:vMerge w:val="restart"/>
          <w:shd w:val="clear" w:color="auto" w:fill="auto"/>
        </w:tcPr>
        <w:p w14:paraId="7CA1A3D3" w14:textId="77777777" w:rsidR="00E5500F" w:rsidRPr="00374227" w:rsidRDefault="00E5500F" w:rsidP="00E5500F">
          <w:pPr>
            <w:pStyle w:val="Header"/>
            <w:tabs>
              <w:tab w:val="center" w:pos="2923"/>
            </w:tabs>
          </w:pPr>
          <w:r>
            <w:rPr>
              <w:noProof/>
              <w:sz w:val="44"/>
              <w:szCs w:val="44"/>
              <w:lang w:eastAsia="en-GB"/>
            </w:rPr>
            <w:drawing>
              <wp:inline distT="0" distB="0" distL="0" distR="0" wp14:anchorId="7CA1A3DE" wp14:editId="7CA1A3D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7CA1A3D4" w14:textId="77777777" w:rsidR="00E5500F" w:rsidRPr="00E7702B" w:rsidRDefault="00E5500F" w:rsidP="00E5500F">
          <w:pPr>
            <w:pStyle w:val="Header"/>
            <w:rPr>
              <w:b/>
              <w:i/>
            </w:rPr>
          </w:pPr>
          <w:r>
            <w:rPr>
              <w:b/>
            </w:rPr>
            <w:t xml:space="preserve">Resources Board </w:t>
          </w:r>
          <w:r w:rsidRPr="00E7702B">
            <w:rPr>
              <w:i/>
            </w:rPr>
            <w:t xml:space="preserve"> </w:t>
          </w:r>
        </w:p>
      </w:tc>
    </w:tr>
    <w:tr w:rsidR="00E5500F" w14:paraId="7CA1A3D8" w14:textId="77777777" w:rsidTr="007C4509">
      <w:trPr>
        <w:trHeight w:val="450"/>
      </w:trPr>
      <w:tc>
        <w:tcPr>
          <w:tcW w:w="5920" w:type="dxa"/>
          <w:vMerge/>
          <w:shd w:val="clear" w:color="auto" w:fill="auto"/>
        </w:tcPr>
        <w:p w14:paraId="7CA1A3D6" w14:textId="77777777" w:rsidR="00E5500F" w:rsidRPr="00374227" w:rsidRDefault="00E5500F" w:rsidP="00E5500F">
          <w:pPr>
            <w:pStyle w:val="Header"/>
          </w:pPr>
        </w:p>
      </w:tc>
      <w:tc>
        <w:tcPr>
          <w:tcW w:w="3260" w:type="dxa"/>
          <w:shd w:val="clear" w:color="auto" w:fill="auto"/>
          <w:vAlign w:val="center"/>
        </w:tcPr>
        <w:p w14:paraId="7CA1A3D7" w14:textId="77777777" w:rsidR="00E5500F" w:rsidRPr="00374227" w:rsidRDefault="00E5500F" w:rsidP="00E5500F">
          <w:pPr>
            <w:pStyle w:val="Header"/>
            <w:spacing w:before="60"/>
          </w:pPr>
          <w:r>
            <w:t xml:space="preserve">22 November 2018 </w:t>
          </w:r>
        </w:p>
      </w:tc>
    </w:tr>
    <w:tr w:rsidR="00E5500F" w:rsidRPr="004F266E" w14:paraId="7CA1A3DB" w14:textId="77777777" w:rsidTr="007C4509">
      <w:trPr>
        <w:trHeight w:val="708"/>
      </w:trPr>
      <w:tc>
        <w:tcPr>
          <w:tcW w:w="5920" w:type="dxa"/>
          <w:vMerge/>
          <w:shd w:val="clear" w:color="auto" w:fill="auto"/>
        </w:tcPr>
        <w:p w14:paraId="7CA1A3D9" w14:textId="77777777" w:rsidR="00E5500F" w:rsidRPr="00374227" w:rsidRDefault="00E5500F" w:rsidP="00E5500F">
          <w:pPr>
            <w:pStyle w:val="Header"/>
          </w:pPr>
        </w:p>
      </w:tc>
      <w:tc>
        <w:tcPr>
          <w:tcW w:w="3260" w:type="dxa"/>
          <w:shd w:val="clear" w:color="auto" w:fill="auto"/>
          <w:vAlign w:val="center"/>
        </w:tcPr>
        <w:p w14:paraId="7CA1A3DA" w14:textId="77777777" w:rsidR="00E5500F" w:rsidRPr="00374227" w:rsidRDefault="00E5500F" w:rsidP="00E5500F">
          <w:pPr>
            <w:pStyle w:val="Header"/>
            <w:spacing w:before="60"/>
            <w:rPr>
              <w:b/>
            </w:rPr>
          </w:pPr>
        </w:p>
      </w:tc>
    </w:tr>
  </w:tbl>
  <w:p w14:paraId="7CA1A3DC" w14:textId="77777777" w:rsidR="00E5500F" w:rsidRPr="005C27B0" w:rsidRDefault="00E5500F" w:rsidP="00E5500F">
    <w:pPr>
      <w:pStyle w:val="Header"/>
    </w:pPr>
  </w:p>
  <w:p w14:paraId="7CA1A3DD" w14:textId="77777777" w:rsidR="00E5500F" w:rsidRDefault="00E55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392A62"/>
    <w:multiLevelType w:val="hybridMultilevel"/>
    <w:tmpl w:val="4C5013A8"/>
    <w:lvl w:ilvl="0" w:tplc="830AA5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04D02"/>
    <w:multiLevelType w:val="hybridMultilevel"/>
    <w:tmpl w:val="D6540EAE"/>
    <w:lvl w:ilvl="0" w:tplc="79A88F3E">
      <w:start w:val="1"/>
      <w:numFmt w:val="decimal"/>
      <w:lvlText w:val="%1."/>
      <w:lvlJc w:val="left"/>
      <w:pPr>
        <w:ind w:left="720" w:hanging="360"/>
      </w:pPr>
      <w:rPr>
        <w:rFonts w:eastAsia="Frutiger 45 Light" w:cs="Frutiger 45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33"/>
    <w:rsid w:val="00124833"/>
    <w:rsid w:val="0018611C"/>
    <w:rsid w:val="001B36CE"/>
    <w:rsid w:val="00415A3A"/>
    <w:rsid w:val="00475A20"/>
    <w:rsid w:val="005C2C6E"/>
    <w:rsid w:val="006E3CC4"/>
    <w:rsid w:val="007E2002"/>
    <w:rsid w:val="00891AE9"/>
    <w:rsid w:val="008F5717"/>
    <w:rsid w:val="009A513F"/>
    <w:rsid w:val="00D45B4D"/>
    <w:rsid w:val="00E37CF7"/>
    <w:rsid w:val="00E55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A2F7"/>
  <w15:chartTrackingRefBased/>
  <w15:docId w15:val="{9DB23EFA-2167-4B83-B75A-C5A79C50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833"/>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833"/>
    <w:rPr>
      <w:color w:val="0563C1"/>
      <w:u w:val="single"/>
    </w:rPr>
  </w:style>
  <w:style w:type="paragraph" w:customStyle="1" w:styleId="LGAItemNoHeading">
    <w:name w:val="LGA Item No Heading"/>
    <w:rsid w:val="00E5500F"/>
    <w:pPr>
      <w:pBdr>
        <w:top w:val="nil"/>
        <w:left w:val="nil"/>
        <w:bottom w:val="nil"/>
        <w:right w:val="nil"/>
        <w:between w:val="nil"/>
        <w:bar w:val="nil"/>
      </w:pBdr>
      <w:spacing w:before="600" w:after="240" w:line="280" w:lineRule="exact"/>
    </w:pPr>
    <w:rPr>
      <w:rFonts w:ascii="Frutiger 55 Roman" w:eastAsia="Frutiger 55 Roman" w:hAnsi="Frutiger 55 Roman" w:cs="Frutiger 55 Roman"/>
      <w:b/>
      <w:bCs/>
      <w:color w:val="000000"/>
      <w:sz w:val="32"/>
      <w:szCs w:val="32"/>
      <w:u w:color="000000"/>
      <w:bdr w:val="nil"/>
      <w:lang w:val="en-US" w:eastAsia="en-GB"/>
    </w:rPr>
  </w:style>
  <w:style w:type="paragraph" w:customStyle="1" w:styleId="MainText">
    <w:name w:val="Main Text"/>
    <w:rsid w:val="00E5500F"/>
    <w:pPr>
      <w:pBdr>
        <w:top w:val="nil"/>
        <w:left w:val="nil"/>
        <w:bottom w:val="nil"/>
        <w:right w:val="nil"/>
        <w:between w:val="nil"/>
        <w:bar w:val="nil"/>
      </w:pBdr>
      <w:spacing w:after="0" w:line="280" w:lineRule="exact"/>
    </w:pPr>
    <w:rPr>
      <w:rFonts w:ascii="Frutiger 45 Light" w:eastAsia="Frutiger 45 Light" w:hAnsi="Frutiger 45 Light" w:cs="Frutiger 45 Light"/>
      <w:color w:val="000000"/>
      <w:u w:color="000000"/>
      <w:bdr w:val="nil"/>
      <w:lang w:val="en-US" w:eastAsia="en-GB"/>
    </w:rPr>
  </w:style>
  <w:style w:type="paragraph" w:styleId="Header">
    <w:name w:val="header"/>
    <w:basedOn w:val="Normal"/>
    <w:link w:val="HeaderChar"/>
    <w:unhideWhenUsed/>
    <w:rsid w:val="00E5500F"/>
    <w:pPr>
      <w:tabs>
        <w:tab w:val="center" w:pos="4513"/>
        <w:tab w:val="right" w:pos="9026"/>
      </w:tabs>
    </w:pPr>
  </w:style>
  <w:style w:type="character" w:customStyle="1" w:styleId="HeaderChar">
    <w:name w:val="Header Char"/>
    <w:basedOn w:val="DefaultParagraphFont"/>
    <w:link w:val="Header"/>
    <w:rsid w:val="00E5500F"/>
    <w:rPr>
      <w:rFonts w:ascii="Arial" w:hAnsi="Arial" w:cs="Arial"/>
    </w:rPr>
  </w:style>
  <w:style w:type="paragraph" w:styleId="Footer">
    <w:name w:val="footer"/>
    <w:basedOn w:val="Normal"/>
    <w:link w:val="FooterChar"/>
    <w:uiPriority w:val="99"/>
    <w:unhideWhenUsed/>
    <w:rsid w:val="00E5500F"/>
    <w:pPr>
      <w:tabs>
        <w:tab w:val="center" w:pos="4513"/>
        <w:tab w:val="right" w:pos="9026"/>
      </w:tabs>
    </w:pPr>
  </w:style>
  <w:style w:type="character" w:customStyle="1" w:styleId="FooterChar">
    <w:name w:val="Footer Char"/>
    <w:basedOn w:val="DefaultParagraphFont"/>
    <w:link w:val="Footer"/>
    <w:uiPriority w:val="99"/>
    <w:rsid w:val="00E5500F"/>
    <w:rPr>
      <w:rFonts w:ascii="Arial" w:hAnsi="Arial" w:cs="Arial"/>
    </w:rPr>
  </w:style>
  <w:style w:type="paragraph" w:styleId="ListParagraph">
    <w:name w:val="List Paragraph"/>
    <w:basedOn w:val="Normal"/>
    <w:uiPriority w:val="34"/>
    <w:qFormat/>
    <w:rsid w:val="00E5500F"/>
    <w:pPr>
      <w:ind w:left="720"/>
      <w:contextualSpacing/>
    </w:pPr>
  </w:style>
  <w:style w:type="character" w:styleId="FollowedHyperlink">
    <w:name w:val="FollowedHyperlink"/>
    <w:basedOn w:val="DefaultParagraphFont"/>
    <w:uiPriority w:val="99"/>
    <w:semiHidden/>
    <w:unhideWhenUsed/>
    <w:rsid w:val="00E55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3629">
      <w:bodyDiv w:val="1"/>
      <w:marLeft w:val="0"/>
      <w:marRight w:val="0"/>
      <w:marTop w:val="0"/>
      <w:marBottom w:val="0"/>
      <w:divBdr>
        <w:top w:val="none" w:sz="0" w:space="0" w:color="auto"/>
        <w:left w:val="none" w:sz="0" w:space="0" w:color="auto"/>
        <w:bottom w:val="none" w:sz="0" w:space="0" w:color="auto"/>
        <w:right w:val="none" w:sz="0" w:space="0" w:color="auto"/>
      </w:divBdr>
    </w:div>
    <w:div w:id="713895213">
      <w:bodyDiv w:val="1"/>
      <w:marLeft w:val="0"/>
      <w:marRight w:val="0"/>
      <w:marTop w:val="0"/>
      <w:marBottom w:val="0"/>
      <w:divBdr>
        <w:top w:val="none" w:sz="0" w:space="0" w:color="auto"/>
        <w:left w:val="none" w:sz="0" w:space="0" w:color="auto"/>
        <w:bottom w:val="none" w:sz="0" w:space="0" w:color="auto"/>
        <w:right w:val="none" w:sz="0" w:space="0" w:color="auto"/>
      </w:divBdr>
    </w:div>
    <w:div w:id="1611007544">
      <w:bodyDiv w:val="1"/>
      <w:marLeft w:val="0"/>
      <w:marRight w:val="0"/>
      <w:marTop w:val="0"/>
      <w:marBottom w:val="0"/>
      <w:divBdr>
        <w:top w:val="none" w:sz="0" w:space="0" w:color="auto"/>
        <w:left w:val="none" w:sz="0" w:space="0" w:color="auto"/>
        <w:bottom w:val="none" w:sz="0" w:space="0" w:color="auto"/>
        <w:right w:val="none" w:sz="0" w:space="0" w:color="auto"/>
      </w:divBdr>
    </w:div>
    <w:div w:id="1645046461">
      <w:bodyDiv w:val="1"/>
      <w:marLeft w:val="0"/>
      <w:marRight w:val="0"/>
      <w:marTop w:val="0"/>
      <w:marBottom w:val="0"/>
      <w:divBdr>
        <w:top w:val="none" w:sz="0" w:space="0" w:color="auto"/>
        <w:left w:val="none" w:sz="0" w:space="0" w:color="auto"/>
        <w:bottom w:val="none" w:sz="0" w:space="0" w:color="auto"/>
        <w:right w:val="none" w:sz="0" w:space="0" w:color="auto"/>
      </w:divBdr>
    </w:div>
    <w:div w:id="200477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eachers-pay-grant-2018-to-2019-financial-year-allocations" TargetMode="External"/><Relationship Id="rId3" Type="http://schemas.openxmlformats.org/officeDocument/2006/relationships/settings" Target="settings.xml"/><Relationship Id="rId7" Type="http://schemas.openxmlformats.org/officeDocument/2006/relationships/hyperlink" Target="https://www.gov.uk/government/publications/school-teachers-pay-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17B3700C</Template>
  <TotalTime>30</TotalTime>
  <Pages>5</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Sutcliffe</dc:creator>
  <cp:keywords/>
  <dc:description/>
  <cp:lastModifiedBy>Benn Cain</cp:lastModifiedBy>
  <cp:revision>11</cp:revision>
  <dcterms:created xsi:type="dcterms:W3CDTF">2018-11-01T13:12:00Z</dcterms:created>
  <dcterms:modified xsi:type="dcterms:W3CDTF">2018-11-15T15:49:00Z</dcterms:modified>
</cp:coreProperties>
</file>